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Ing. Químico Profesional Services S.A. de C.V.</w:t>
      </w:r>
    </w:p>
    <w:p>
      <w:pPr>
        <w:pStyle w:val="BodyText"/>
      </w:pPr>
      <w:r>
        <w:t xml:space="preserve">Av. Insurgentes Sur 1234, Col. Del Valle, C.P. 03100, Mexico Mexico City</w:t>
      </w:r>
    </w:p>
    <w:p>
      <w:pPr>
        <w:pStyle w:val="BodyText"/>
      </w:pPr>
      <w:r>
        <w:t xml:space="preserve">Phone: +52 (55) 5555-0142 | Email: estimates@ingquimicoprofesional.mx</w:t>
      </w:r>
    </w:p>
    <w:p>
      <w:pPr>
        <w:pStyle w:val="BodyText"/>
      </w:pPr>
      <w:r>
        <w:t xml:space="preserve">RFC: IQP150320AB1 | SAT Registered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QE-2025-04871</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(until July 15, 2025)</w:t>
            </w:r>
          </w:p>
        </w:tc>
        <w:tc>
          <w:tcPr/>
          <w:p>
            <w:pPr>
              <w:pStyle w:val="Compact"/>
              <w:jc w:val="left"/>
            </w:pPr>
            <w:r>
              <w:t xml:space="preserve">Currency</w:t>
            </w:r>
          </w:p>
        </w:tc>
        <w:tc>
          <w:tcPr/>
          <w:p>
            <w:pPr>
              <w:pStyle w:val="Compact"/>
              <w:jc w:val="left"/>
            </w:pPr>
            <w:r>
              <w:t xml:space="preserve">MXN (Mexican Pesos)</w:t>
            </w:r>
          </w:p>
        </w:tc>
      </w:tr>
      <w:tr>
        <w:tc>
          <w:tcPr/>
          <w:p>
            <w:pPr>
              <w:pStyle w:val="Compact"/>
              <w:jc w:val="left"/>
            </w:pPr>
            <w:r>
              <w:t xml:space="preserve">Client Name</w:t>
            </w:r>
          </w:p>
        </w:tc>
        <w:tc>
          <w:tcPr/>
          <w:p>
            <w:pPr>
              <w:pStyle w:val="Compact"/>
              <w:jc w:val="left"/>
            </w:pPr>
            <w:r>
              <w:t xml:space="preserve">Industrias Petroquímicas del Centro S.A. de C.V.</w:t>
            </w:r>
          </w:p>
        </w:tc>
        <w:tc>
          <w:tcPr/>
          <w:p>
            <w:pPr>
              <w:pStyle w:val="Compact"/>
              <w:jc w:val="left"/>
            </w:pPr>
            <w:r>
              <w:t xml:space="preserve">Client Address</w:t>
            </w:r>
          </w:p>
        </w:tc>
        <w:tc>
          <w:tcPr/>
          <w:p>
            <w:pPr>
              <w:pStyle w:val="Compact"/>
              <w:jc w:val="left"/>
            </w:pPr>
            <w:r>
              <w:t xml:space="preserve">Parque Industrial Vallejo, C.P. 07700, Mexico Mexico City</w:t>
            </w:r>
          </w:p>
        </w:tc>
      </w:tr>
      <w:tr>
        <w:tc>
          <w:tcPr/>
          <w:p>
            <w:pPr>
              <w:pStyle w:val="Compact"/>
              <w:jc w:val="left"/>
            </w:pPr>
            <w:r>
              <w:t xml:space="preserve">Project Reference</w:t>
            </w:r>
          </w:p>
        </w:tc>
        <w:tc>
          <w:tcPr/>
          <w:p>
            <w:pPr>
              <w:pStyle w:val="Compact"/>
              <w:jc w:val="left"/>
            </w:pPr>
            <w:r>
              <w:t xml:space="preserve">Process Optimization &amp; Safety Compliance – Plant B</w:t>
            </w:r>
          </w:p>
        </w:tc>
        <w:tc>
          <w:tcPr/>
          <w:p>
            <w:pPr>
              <w:pStyle w:val="Compact"/>
              <w:jc w:val="left"/>
            </w:pPr>
            <w:r>
              <w:t xml:space="preserve">Prepared By</w:t>
            </w:r>
          </w:p>
        </w:tc>
        <w:tc>
          <w:tcPr/>
          <w:p>
            <w:pPr>
              <w:pStyle w:val="Compact"/>
              <w:jc w:val="left"/>
            </w:pPr>
            <w:r>
              <w:t xml:space="preserve">Ing. María Fernanda Gutiérrez, Chemical Engineer (Cédula No. 45218)</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Ing. Químico Profesional Services S.A. de C.V. to provide a comprehensive and itemized cost breakdown for the professional services of a licensed</w:t>
      </w:r>
      <w:r>
        <w:t xml:space="preserve"> </w:t>
      </w:r>
      <w:r>
        <w:t xml:space="preserve">Chemical Engineer</w:t>
      </w:r>
      <w:r>
        <w:t xml:space="preserve"> </w:t>
      </w:r>
      <w:r>
        <w:t xml:space="preserve">engaged to perform process optimization, safety compliance auditing, and technical consulting at the client's industrial facility located in</w:t>
      </w:r>
      <w:r>
        <w:t xml:space="preserve"> </w:t>
      </w:r>
      <w:r>
        <w:t xml:space="preserve">Mexico Mexico City</w:t>
      </w:r>
      <w:r>
        <w:t xml:space="preserve">. This document serves as a formal proposal and does not constitute a binding contract until both parties execute the definitive service agreement. All pricing is quoted in Mexican Pesos (MXN) and is subject to the terms and conditions outlined herein.</w:t>
      </w:r>
    </w:p>
    <w:bookmarkEnd w:id="21"/>
    <w:bookmarkStart w:id="22" w:name="X0488ffc87c12a35dd5f14081031b57dbc711415"/>
    <w:p>
      <w:pPr>
        <w:pStyle w:val="Heading2"/>
      </w:pPr>
      <w:r>
        <w:t xml:space="preserve">2. Detailed Scope of Services – Chemical Engineer</w:t>
      </w:r>
    </w:p>
    <w:p>
      <w:pPr>
        <w:pStyle w:val="FirstParagraph"/>
      </w:pPr>
      <w:r>
        <w:t xml:space="preserve">The</w:t>
      </w:r>
      <w:r>
        <w:t xml:space="preserve"> </w:t>
      </w:r>
      <w:r>
        <w:t xml:space="preserve">Chemical Engineer</w:t>
      </w:r>
      <w:r>
        <w:t xml:space="preserve"> </w:t>
      </w:r>
      <w:r>
        <w:t xml:space="preserve">assigned to this project will hold a valid professional license (Cédula Profesional) issued by the relevant authority in Mexico Mexico City and will possess a minimum of twelve (12) years of experience in petrochemical process design, reactor optimization, and regulatory compliance under NOM-004-STPS and NOM-018-SCFI standards.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Initial site assessment and process flow diagram (PFD) review at the Mexico Mexico City facility. Includes hazard identification (HAZOP) workshop with plant operators.</w:t>
            </w:r>
          </w:p>
        </w:tc>
        <w:tc>
          <w:tcPr/>
          <w:p>
            <w:pPr>
              <w:pStyle w:val="Compact"/>
              <w:jc w:val="left"/>
            </w:pPr>
            <w:r>
              <w:t xml:space="preserve">3 days</w:t>
            </w:r>
          </w:p>
        </w:tc>
        <w:tc>
          <w:tcPr/>
          <w:p>
            <w:pPr>
              <w:pStyle w:val="Compact"/>
              <w:jc w:val="left"/>
            </w:pPr>
            <w:r>
              <w:t xml:space="preserve">Day rate</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Thermodynamic and kinetic analysis of the existing reactor train. Preparation of optimization report with recommended operating parameter adjustments.</w:t>
            </w:r>
          </w:p>
        </w:tc>
        <w:tc>
          <w:tcPr/>
          <w:p>
            <w:pPr>
              <w:pStyle w:val="Compact"/>
              <w:jc w:val="left"/>
            </w:pPr>
            <w:r>
              <w:t xml:space="preserve">10 days</w:t>
            </w:r>
          </w:p>
        </w:tc>
        <w:tc>
          <w:tcPr/>
          <w:p>
            <w:pPr>
              <w:pStyle w:val="Compact"/>
              <w:jc w:val="left"/>
            </w:pPr>
            <w:r>
              <w:t xml:space="preserve">Day rate</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Design and specification of a new heat exchanger network to improve thermal efficiency by an estimated 12–15%. Includes CFD simulation and material selection per ASME Section VIII.</w:t>
            </w:r>
          </w:p>
        </w:tc>
        <w:tc>
          <w:tcPr/>
          <w:p>
            <w:pPr>
              <w:pStyle w:val="Compact"/>
              <w:jc w:val="left"/>
            </w:pPr>
            <w:r>
              <w:t xml:space="preserve">15 days</w:t>
            </w:r>
          </w:p>
        </w:tc>
        <w:tc>
          <w:tcPr/>
          <w:p>
            <w:pPr>
              <w:pStyle w:val="Compact"/>
              <w:jc w:val="left"/>
            </w:pPr>
            <w:r>
              <w:t xml:space="preserve">Day rate</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Regulatory compliance audit against NOM-004-STPS-2012, NOM-018-SCFI-2015, and SEMARNAT emission standards applicable in Mexico Mexico City. Submission of corrective action plan.</w:t>
            </w:r>
          </w:p>
        </w:tc>
        <w:tc>
          <w:tcPr/>
          <w:p>
            <w:pPr>
              <w:pStyle w:val="Compact"/>
              <w:jc w:val="left"/>
            </w:pPr>
            <w:r>
              <w:t xml:space="preserve">5 days</w:t>
            </w:r>
          </w:p>
        </w:tc>
        <w:tc>
          <w:tcPr/>
          <w:p>
            <w:pPr>
              <w:pStyle w:val="Compact"/>
              <w:jc w:val="left"/>
            </w:pPr>
            <w:r>
              <w:t xml:space="preserve">Day rate</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Preparation of the final technical report, including executive summary, detailed calculations, P&amp;ID revisions, and a 90-day post-implementation support window.</w:t>
            </w:r>
          </w:p>
        </w:tc>
        <w:tc>
          <w:tcPr/>
          <w:p>
            <w:pPr>
              <w:pStyle w:val="Compact"/>
              <w:jc w:val="left"/>
            </w:pPr>
            <w:r>
              <w:t xml:space="preserve">7 days</w:t>
            </w:r>
          </w:p>
        </w:tc>
        <w:tc>
          <w:tcPr/>
          <w:p>
            <w:pPr>
              <w:pStyle w:val="Compact"/>
              <w:jc w:val="left"/>
            </w:pPr>
            <w:r>
              <w:t xml:space="preserve">Day rate</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Travel, lodging, and per diem expenses for the Chemical Engineer and one (1) support technician within the Mexico Mexico City metropolitan area.</w:t>
            </w:r>
          </w:p>
        </w:tc>
        <w:tc>
          <w:tcPr/>
          <w:p>
            <w:pPr>
              <w:pStyle w:val="Compact"/>
              <w:jc w:val="left"/>
            </w:pPr>
            <w:r>
              <w:t xml:space="preserve">40 days</w:t>
            </w:r>
          </w:p>
        </w:tc>
        <w:tc>
          <w:tcPr/>
          <w:p>
            <w:pPr>
              <w:pStyle w:val="Compact"/>
              <w:jc w:val="left"/>
            </w:pPr>
            <w:r>
              <w:t xml:space="preserve">Flat fee</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Software licensing (Aspen Plus, ANSYS Fluent) and computational resources for simulation work.</w:t>
            </w:r>
          </w:p>
        </w:tc>
        <w:tc>
          <w:tcPr/>
          <w:p>
            <w:pPr>
              <w:pStyle w:val="Compact"/>
              <w:jc w:val="left"/>
            </w:pPr>
            <w:r>
              <w:t xml:space="preserve">1 project</w:t>
            </w:r>
          </w:p>
        </w:tc>
        <w:tc>
          <w:tcPr/>
          <w:p>
            <w:pPr>
              <w:pStyle w:val="Compact"/>
              <w:jc w:val="left"/>
            </w:pPr>
            <w:r>
              <w:t xml:space="preserve">Flat fee</w:t>
            </w:r>
          </w:p>
        </w:tc>
        <w:tc>
          <w:tcPr/>
          <w:p>
            <w:pPr>
              <w:pStyle w:val="Compact"/>
              <w:jc w:val="left"/>
            </w:pPr>
            <w:r>
              <w:t xml:space="preserve">$25,000.00</w:t>
            </w:r>
          </w:p>
        </w:tc>
      </w:tr>
      <w:tr>
        <w:tc>
          <w:tcPr>
            <w:gridSpan w:val="4"/>
          </w:tcPr>
          <w:p>
            <w:pPr>
              <w:pStyle w:val="Compact"/>
              <w:jc w:val="right"/>
            </w:pPr>
            <w:r>
              <w:t xml:space="preserve">Subtotal (before IVA)</w:t>
            </w:r>
          </w:p>
        </w:tc>
        <w:tc>
          <w:tcPr/>
          <w:p>
            <w:pPr>
              <w:pStyle w:val="Compact"/>
              <w:jc w:val="left"/>
            </w:pPr>
            <w:r>
              <w:t xml:space="preserve">$697,000.00</w:t>
            </w:r>
          </w:p>
        </w:tc>
      </w:tr>
      <w:tr>
        <w:tc>
          <w:tcPr>
            <w:gridSpan w:val="4"/>
          </w:tcPr>
          <w:p>
            <w:pPr>
              <w:pStyle w:val="Compact"/>
              <w:jc w:val="right"/>
            </w:pPr>
            <w:r>
              <w:t xml:space="preserve">IVA (16% – Mexican Value Added Tax)</w:t>
            </w:r>
          </w:p>
        </w:tc>
        <w:tc>
          <w:tcPr/>
          <w:p>
            <w:pPr>
              <w:pStyle w:val="Compact"/>
              <w:jc w:val="left"/>
            </w:pPr>
            <w:r>
              <w:t xml:space="preserve">$111,520.00</w:t>
            </w:r>
          </w:p>
        </w:tc>
      </w:tr>
      <w:tr>
        <w:tc>
          <w:tcPr>
            <w:gridSpan w:val="4"/>
          </w:tcPr>
          <w:p>
            <w:pPr>
              <w:pStyle w:val="Compact"/>
              <w:jc w:val="right"/>
            </w:pPr>
            <w:r>
              <w:t xml:space="preserve">TOTAL ESTIMATED COST (MXN)</w:t>
            </w:r>
          </w:p>
        </w:tc>
        <w:tc>
          <w:tcPr/>
          <w:p>
            <w:pPr>
              <w:pStyle w:val="Compact"/>
              <w:jc w:val="left"/>
            </w:pPr>
            <w:r>
              <w:t xml:space="preserve">$808,520.00</w:t>
            </w:r>
          </w:p>
        </w:tc>
      </w:tr>
    </w:tbl>
    <w:bookmarkEnd w:id="22"/>
    <w:bookmarkStart w:id="23" w:name="payment-terms"/>
    <w:p>
      <w:pPr>
        <w:pStyle w:val="Heading2"/>
      </w:pPr>
      <w:r>
        <w:t xml:space="preserve">3. Payment Terms</w:t>
      </w:r>
    </w:p>
    <w:p>
      <w:pPr>
        <w:numPr>
          <w:ilvl w:val="0"/>
          <w:numId w:val="1001"/>
        </w:numPr>
        <w:pStyle w:val="Compact"/>
      </w:pPr>
      <w:r>
        <w:rPr>
          <w:bCs/>
          <w:b/>
        </w:rPr>
        <w:t xml:space="preserve">30% Advance Payment:</w:t>
      </w:r>
      <w:r>
        <w:t xml:space="preserve"> </w:t>
      </w:r>
      <w:r>
        <w:t xml:space="preserve">$242,556.00 MXN due upon signature of the service agreement and issuance of the formal invoice (Factura) by the Chemical Engineer's firm.</w:t>
      </w:r>
    </w:p>
    <w:p>
      <w:pPr>
        <w:numPr>
          <w:ilvl w:val="0"/>
          <w:numId w:val="1001"/>
        </w:numPr>
        <w:pStyle w:val="Compact"/>
      </w:pPr>
      <w:r>
        <w:rPr>
          <w:bCs/>
          <w:b/>
        </w:rPr>
        <w:t xml:space="preserve">40% Milestone Payment:</w:t>
      </w:r>
      <w:r>
        <w:t xml:space="preserve"> </w:t>
      </w:r>
      <w:r>
        <w:t xml:space="preserve">$323,408.00 MXN due upon delivery and client approval of the optimization report and heat exchanger design package.</w:t>
      </w:r>
    </w:p>
    <w:p>
      <w:pPr>
        <w:numPr>
          <w:ilvl w:val="0"/>
          <w:numId w:val="1001"/>
        </w:numPr>
        <w:pStyle w:val="Compact"/>
      </w:pPr>
      <w:r>
        <w:rPr>
          <w:bCs/>
          <w:b/>
        </w:rPr>
        <w:t xml:space="preserve">30% Final Payment:</w:t>
      </w:r>
      <w:r>
        <w:t xml:space="preserve"> </w:t>
      </w:r>
      <w:r>
        <w:t xml:space="preserve">$242,556.00 MXN due upon submission of the final technical report and completion of the 90-day support window.</w:t>
      </w:r>
    </w:p>
    <w:p>
      <w:pPr>
        <w:numPr>
          <w:ilvl w:val="0"/>
          <w:numId w:val="1001"/>
        </w:numPr>
        <w:pStyle w:val="Compact"/>
      </w:pPr>
      <w:r>
        <w:t xml:space="preserve">All payments shall be made via bank transfer (SPEI) to the account designated in the invoice. Late payments shall accrue interest at the rate established by the Banco de México (Banxico) for overdue commercial obligations.</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material costs, labor rates, or applicable tax regulations in Mexico Mexico City.</w:t>
      </w:r>
    </w:p>
    <w:p>
      <w:pPr>
        <w:numPr>
          <w:ilvl w:val="0"/>
          <w:numId w:val="1002"/>
        </w:numPr>
        <w:pStyle w:val="Compact"/>
      </w:pPr>
      <w:r>
        <w:t xml:space="preserve">The</w:t>
      </w:r>
      <w:r>
        <w:t xml:space="preserve"> </w:t>
      </w:r>
      <w:r>
        <w:t xml:space="preserve">Chemical Engineer</w:t>
      </w:r>
      <w:r>
        <w:t xml:space="preserve"> </w:t>
      </w:r>
      <w:r>
        <w:t xml:space="preserve">shall comply with all occupational health and safety regulations (NOM-004-STPS) while on-site. The client is responsible for providing appropriate personal protective equipment (PPE) and site access credentials.</w:t>
      </w:r>
    </w:p>
    <w:p>
      <w:pPr>
        <w:numPr>
          <w:ilvl w:val="0"/>
          <w:numId w:val="1002"/>
        </w:numPr>
        <w:pStyle w:val="Compact"/>
      </w:pPr>
      <w:r>
        <w:t xml:space="preserve">All intellectual property, including process calculations, simulation files, and design documents produced under this engagement, shall become the exclusive property of the client upon full payment.</w:t>
      </w:r>
    </w:p>
    <w:p>
      <w:pPr>
        <w:numPr>
          <w:ilvl w:val="0"/>
          <w:numId w:val="1002"/>
        </w:numPr>
        <w:pStyle w:val="Compact"/>
      </w:pPr>
      <w:r>
        <w:t xml:space="preserve">The Chemical Engineer shall maintain professional liability insurance with a minimum coverage of $5,000,000 MXN, valid throughout the project duration in Mexico Mexico City.</w:t>
      </w:r>
    </w:p>
    <w:p>
      <w:pPr>
        <w:numPr>
          <w:ilvl w:val="0"/>
          <w:numId w:val="1002"/>
        </w:numPr>
        <w:pStyle w:val="Compact"/>
      </w:pPr>
      <w:r>
        <w:t xml:space="preserve">Any scope changes or additional services requested by the client beyond the original scope shall be subject to a revised Quotation Estimate and written approval prior to execution.</w:t>
      </w:r>
    </w:p>
    <w:p>
      <w:pPr>
        <w:numPr>
          <w:ilvl w:val="0"/>
          <w:numId w:val="1002"/>
        </w:numPr>
        <w:pStyle w:val="Compact"/>
      </w:pPr>
      <w:r>
        <w:t xml:space="preserve">Confidentiality: Both parties agree to maintain strict confidentiality of all proprietary process data, trade secrets, and business information exchanged during the course of this project, in accordance with the Federal Law on Protection of Personal Data Held by Private Parties (LFPDPPP) of Mexico.</w:t>
      </w:r>
    </w:p>
    <w:p>
      <w:pPr>
        <w:numPr>
          <w:ilvl w:val="0"/>
          <w:numId w:val="1002"/>
        </w:numPr>
        <w:pStyle w:val="Compact"/>
      </w:pPr>
      <w:r>
        <w:t xml:space="preserve">Disputes arising from this Quotation Estimate or the subsequent service agreement shall be resolved through binding arbitration in Mexico Mexico City, in accordance with the rules of the Mexican Chamber of Commerce (Cámara de Comercio de México).</w:t>
      </w:r>
    </w:p>
    <w:p>
      <w:pPr>
        <w:pStyle w:val="FirstParagraph"/>
      </w:pPr>
      <w:r>
        <w:rPr>
          <w:bCs/>
          <w:b/>
        </w:rPr>
        <w:t xml:space="preserve">Important Note:</w:t>
      </w:r>
      <w:r>
        <w:t xml:space="preserve"> </w:t>
      </w:r>
      <w:r>
        <w:t xml:space="preserve">This Quotation Estimate is prepared specifically for the project referenced above and is non-transferable. The Chemical Engineer services described herein are tailored to the specific process conditions, regulatory environment, and operational requirements of the client's facility in Mexico Mexico City. Any deviation from the stated scope will require a formal amendment to this document.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 Quotation Estimate. The Chemical Engineer services shall commence within five (5) business days of the advance payment confirmation.</w:t>
      </w:r>
    </w:p>
    <w:p>
      <w:pPr>
        <w:pStyle w:val="BodyText"/>
      </w:pPr>
      <w:r>
        <w:rPr>
          <w:bCs/>
          <w:b/>
        </w:rPr>
        <w:t xml:space="preserve">Ing. María Fernanda Gutiérrez</w:t>
      </w:r>
      <w:r>
        <w:br/>
      </w:r>
      <w:r>
        <w:t xml:space="preserve">Chemical Engineer – Service Provider</w:t>
      </w:r>
      <w:r>
        <w:br/>
      </w:r>
      <w:r>
        <w:t xml:space="preserve">Ing. Químico Profesional Services S.A. de C.V.</w:t>
      </w:r>
      <w:r>
        <w:br/>
      </w:r>
      <w:r>
        <w:t xml:space="preserve">Date: _______________</w:t>
      </w:r>
    </w:p>
    <w:p>
      <w:pPr>
        <w:pStyle w:val="BodyText"/>
      </w:pPr>
      <w:r>
        <w:rPr>
          <w:bCs/>
          <w:b/>
        </w:rPr>
        <w:t xml:space="preserve">Authorized Representative</w:t>
      </w:r>
      <w:r>
        <w:br/>
      </w:r>
      <w:r>
        <w:t xml:space="preserve">Client – Industrias Petroquímicas del Centro S.A. de C.V.</w:t>
      </w:r>
      <w:r>
        <w:br/>
      </w:r>
      <w:r>
        <w:t xml:space="preserve">Mexico Mexico City</w:t>
      </w:r>
      <w:r>
        <w:br/>
      </w:r>
      <w:r>
        <w:t xml:space="preserve">Date: _______________</w:t>
      </w:r>
    </w:p>
    <w:p>
      <w:pPr>
        <w:pStyle w:val="BodyText"/>
      </w:pPr>
      <w:r>
        <w:t xml:space="preserve">This Quotation Estimate (No. QE-2025-04871) was prepared by Ing. Químico Profesional Services S.A. de C.V., a registered professional services firm operating in Mexico Mexico City. All Chemical Engineer services are performed in compliance with Mexican federal and local regulations. Document generated on June 15, 2025. For inquiries, contact estimates@ingquimicoprofesional.mx or +52 (55) 5555-0142.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Mexico Mexico City</dc:title>
  <dc:creator/>
  <dc:language>en</dc:language>
  <cp:keywords/>
  <dcterms:created xsi:type="dcterms:W3CDTF">2026-10-10T04:20:33Z</dcterms:created>
  <dcterms:modified xsi:type="dcterms:W3CDTF">2026-10-10T04:20:33Z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