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Chemical Engineer Services</w:t>
      </w:r>
    </w:p>
    <w:p>
      <w:pPr>
        <w:pStyle w:val="BodyText"/>
      </w:pPr>
      <w:r>
        <w:t xml:space="preserve">Amsterdam, Netherlands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QE-2025-AMST-0472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Hendrik van der Berg, PEng – Lead Chemical Engineer</w:t>
            </w:r>
          </w:p>
        </w:tc>
      </w:tr>
      <w:tr>
        <w:tc>
          <w:tcPr/>
          <w:p>
            <w:pPr>
              <w:pStyle w:val="Compact"/>
              <w:jc w:val="left"/>
            </w:pPr>
            <w:r>
              <w:t xml:space="preserve">Company</w:t>
            </w:r>
          </w:p>
        </w:tc>
        <w:tc>
          <w:tcPr/>
          <w:p>
            <w:pPr>
              <w:pStyle w:val="Compact"/>
              <w:jc w:val="left"/>
            </w:pPr>
            <w:r>
              <w:t xml:space="preserve">Amsterdam Process Engineering B.V., Keizersgracht 214, 1016 CW Amsterdam, Netherlands</w:t>
            </w:r>
          </w:p>
        </w:tc>
      </w:tr>
      <w:tr>
        <w:tc>
          <w:tcPr/>
          <w:p>
            <w:pPr>
              <w:pStyle w:val="Compact"/>
              <w:jc w:val="left"/>
            </w:pPr>
            <w:r>
              <w:t xml:space="preserve">Client</w:t>
            </w:r>
          </w:p>
        </w:tc>
        <w:tc>
          <w:tcPr/>
          <w:p>
            <w:pPr>
              <w:pStyle w:val="Compact"/>
              <w:jc w:val="left"/>
            </w:pPr>
            <w:r>
              <w:t xml:space="preserve">North Sea Petrochemicals N.V., Industrieweg 88, 1031 AB Amsterdam, Netherlands</w:t>
            </w:r>
          </w:p>
        </w:tc>
      </w:tr>
      <w:tr>
        <w:tc>
          <w:tcPr/>
          <w:p>
            <w:pPr>
              <w:pStyle w:val="Compact"/>
              <w:jc w:val="left"/>
            </w:pPr>
            <w:r>
              <w:t xml:space="preserve">Project Title</w:t>
            </w:r>
          </w:p>
        </w:tc>
        <w:tc>
          <w:tcPr/>
          <w:p>
            <w:pPr>
              <w:pStyle w:val="Compact"/>
              <w:jc w:val="left"/>
            </w:pPr>
            <w:r>
              <w:t xml:space="preserve">Process Optimization and Safety Assessment – Unit 7 Reactor System</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Amsterdam Process Engineering B.V. to provide North Sea Petrochemicals N.V. with a comprehensive and transparent financial overview for the engagement of a senior</w:t>
      </w:r>
      <w:r>
        <w:t xml:space="preserve"> </w:t>
      </w:r>
      <w:r>
        <w:t xml:space="preserve">Chemical Engineer</w:t>
      </w:r>
      <w:r>
        <w:t xml:space="preserve"> </w:t>
      </w:r>
      <w:r>
        <w:t xml:space="preserve">and supporting technical team. The scope of work described herein pertains specifically to the process optimization, safety reassessment, and regulatory compliance review of the Unit 7 reactor system located at the client's industrial facility in</w:t>
      </w:r>
      <w:r>
        <w:t xml:space="preserve"> </w:t>
      </w:r>
      <w:r>
        <w:t xml:space="preserve">Netherlands Amsterdam</w:t>
      </w:r>
      <w:r>
        <w:t xml:space="preserve">. This document constitutes a formal</w:t>
      </w:r>
      <w:r>
        <w:t xml:space="preserve"> </w:t>
      </w:r>
      <w:r>
        <w:t xml:space="preserve">Quotation Estimate</w:t>
      </w:r>
      <w:r>
        <w:t xml:space="preserve"> </w:t>
      </w:r>
      <w:r>
        <w:t xml:space="preserve">and does not represent a binding contract until both parties have executed the accompanying Service Agreement.</w:t>
      </w:r>
    </w:p>
    <w:p>
      <w:pPr>
        <w:pStyle w:val="BodyText"/>
      </w:pPr>
      <w:r>
        <w:t xml:space="preserve">The</w:t>
      </w:r>
      <w:r>
        <w:t xml:space="preserve"> </w:t>
      </w:r>
      <w:r>
        <w:t xml:space="preserve">Chemical Engineer</w:t>
      </w:r>
      <w:r>
        <w:t xml:space="preserve"> </w:t>
      </w:r>
      <w:r>
        <w:t xml:space="preserve">designated for this assignment, Dr. Hendrik van der Berg, holds a Ph.D. in Chemical Engineering from Delft University of Technology and possesses over eighteen years of professional experience in process design, reaction kinetics, and industrial safety systems. His expertise is particularly relevant to the petrochemical sector in the</w:t>
      </w:r>
      <w:r>
        <w:t xml:space="preserve"> </w:t>
      </w:r>
      <w:r>
        <w:t xml:space="preserve">Netherlands Amsterdam</w:t>
      </w:r>
      <w:r>
        <w:t xml:space="preserve"> </w:t>
      </w:r>
      <w:r>
        <w:t xml:space="preserve">region, where stringent environmental and safety regulations governed by the Dutch Ministry of Economic Affairs and Climate Policy (EZK) and the Netherlands Environmental Assessment Agency (PBL) must be strictly adhered to.</w:t>
      </w:r>
    </w:p>
    <w:bookmarkEnd w:id="21"/>
    <w:bookmarkStart w:id="22" w:name="scope-of-work"/>
    <w:p>
      <w:pPr>
        <w:pStyle w:val="Heading2"/>
      </w:pPr>
      <w:r>
        <w:t xml:space="preserve">2. Scope of Work</w:t>
      </w:r>
    </w:p>
    <w:p>
      <w:pPr>
        <w:pStyle w:val="FirstParagraph"/>
      </w:pPr>
      <w:r>
        <w:t xml:space="preserve">The</w:t>
      </w:r>
      <w:r>
        <w:t xml:space="preserve"> </w:t>
      </w:r>
      <w:r>
        <w:t xml:space="preserve">Chemical Engineer</w:t>
      </w:r>
      <w:r>
        <w:t xml:space="preserve"> </w:t>
      </w:r>
      <w:r>
        <w:t xml:space="preserve">will deliver the following services as part of this</w:t>
      </w:r>
      <w:r>
        <w:t xml:space="preserve"> </w:t>
      </w:r>
      <w:r>
        <w:t xml:space="preserve">Quotation Estimate</w:t>
      </w:r>
      <w:r>
        <w:t xml:space="preserve">:</w:t>
      </w:r>
    </w:p>
    <w:p>
      <w:pPr>
        <w:numPr>
          <w:ilvl w:val="0"/>
          <w:numId w:val="1001"/>
        </w:numPr>
        <w:pStyle w:val="Compact"/>
      </w:pPr>
      <w:r>
        <w:rPr>
          <w:bCs/>
          <w:b/>
        </w:rPr>
        <w:t xml:space="preserve">Process Audit and Thermodynamic Analysis:</w:t>
      </w:r>
      <w:r>
        <w:t xml:space="preserve"> </w:t>
      </w:r>
      <w:r>
        <w:t xml:space="preserve">A full review of the Unit 7 reactor system's current operating parameters, including heat and mass balance calculations, catalyst performance evaluation, and identification of energy efficiency improvements. The</w:t>
      </w:r>
      <w:r>
        <w:t xml:space="preserve"> </w:t>
      </w:r>
      <w:r>
        <w:t xml:space="preserve">Chemical Engineer</w:t>
      </w:r>
      <w:r>
        <w:t xml:space="preserve"> </w:t>
      </w:r>
      <w:r>
        <w:t xml:space="preserve">will produce a detailed technical report within four weeks of project commencement.</w:t>
      </w:r>
    </w:p>
    <w:p>
      <w:pPr>
        <w:numPr>
          <w:ilvl w:val="0"/>
          <w:numId w:val="1001"/>
        </w:numPr>
        <w:pStyle w:val="Compact"/>
      </w:pPr>
      <w:r>
        <w:rPr>
          <w:bCs/>
          <w:b/>
        </w:rPr>
        <w:t xml:space="preserve">Safety and HAZOP Study:</w:t>
      </w:r>
      <w:r>
        <w:t xml:space="preserve"> </w:t>
      </w:r>
      <w:r>
        <w:t xml:space="preserve">Conducting a Hazard and Operability (HAZOP) study in compliance with the Dutch Working Conditions Act (Arbowet) and the European Seveso III Directive. The</w:t>
      </w:r>
      <w:r>
        <w:t xml:space="preserve"> </w:t>
      </w:r>
      <w:r>
        <w:t xml:space="preserve">Chemical Engineer</w:t>
      </w:r>
      <w:r>
        <w:t xml:space="preserve"> </w:t>
      </w:r>
      <w:r>
        <w:t xml:space="preserve">will coordinate with the client's HSE department and local fire authority in</w:t>
      </w:r>
      <w:r>
        <w:t xml:space="preserve"> </w:t>
      </w:r>
      <w:r>
        <w:t xml:space="preserve">Netherlands Amsterdam</w:t>
      </w:r>
      <w:r>
        <w:t xml:space="preserve">.</w:t>
      </w:r>
    </w:p>
    <w:p>
      <w:pPr>
        <w:numPr>
          <w:ilvl w:val="0"/>
          <w:numId w:val="1001"/>
        </w:numPr>
        <w:pStyle w:val="Compact"/>
      </w:pPr>
      <w:r>
        <w:rPr>
          <w:bCs/>
          <w:b/>
        </w:rPr>
        <w:t xml:space="preserve">Regulatory Compliance Review:</w:t>
      </w:r>
      <w:r>
        <w:t xml:space="preserve"> </w:t>
      </w:r>
      <w:r>
        <w:t xml:space="preserve">Ensuring all process modifications align with the Dutch Environmental Permit (Omgevingsvergunning) requirements and the European REACH regulation. The</w:t>
      </w:r>
      <w:r>
        <w:t xml:space="preserve"> </w:t>
      </w:r>
      <w:r>
        <w:t xml:space="preserve">Quotation Estimate</w:t>
      </w:r>
      <w:r>
        <w:t xml:space="preserve"> </w:t>
      </w:r>
      <w:r>
        <w:t xml:space="preserve">includes preparation of all necessary documentation for submission to the municipality of Amsterdam and the provincial authority of North Holland.</w:t>
      </w:r>
    </w:p>
    <w:p>
      <w:pPr>
        <w:numPr>
          <w:ilvl w:val="0"/>
          <w:numId w:val="1001"/>
        </w:numPr>
        <w:pStyle w:val="Compact"/>
      </w:pPr>
      <w:r>
        <w:rPr>
          <w:bCs/>
          <w:b/>
        </w:rPr>
        <w:t xml:space="preserve">Capital Expenditure Planning:</w:t>
      </w:r>
      <w:r>
        <w:t xml:space="preserve"> </w:t>
      </w:r>
      <w:r>
        <w:t xml:space="preserve">Developing a detailed CAPEX and OPEX model for the proposed reactor upgrades, including vendor quotations for equipment procurement and installation scheduling.</w:t>
      </w:r>
    </w:p>
    <w:p>
      <w:pPr>
        <w:numPr>
          <w:ilvl w:val="0"/>
          <w:numId w:val="1001"/>
        </w:numPr>
        <w:pStyle w:val="Compact"/>
      </w:pPr>
      <w:r>
        <w:rPr>
          <w:bCs/>
          <w:b/>
        </w:rPr>
        <w:t xml:space="preserve">On-Site Consultation and Training:</w:t>
      </w:r>
      <w:r>
        <w:t xml:space="preserve"> </w:t>
      </w:r>
      <w:r>
        <w:t xml:space="preserve">Providing a minimum of twelve (12) on-site consultation days at the client's facility in</w:t>
      </w:r>
      <w:r>
        <w:t xml:space="preserve"> </w:t>
      </w:r>
      <w:r>
        <w:t xml:space="preserve">Netherlands Amsterdam</w:t>
      </w:r>
      <w:r>
        <w:t xml:space="preserve">, including operator training sessions on the revised process control procedures.</w:t>
      </w:r>
    </w:p>
    <w:bookmarkEnd w:id="22"/>
    <w:bookmarkStart w:id="23" w:name="financial-breakdown-quotation-estimate"/>
    <w:p>
      <w:pPr>
        <w:pStyle w:val="Heading2"/>
      </w:pPr>
      <w:r>
        <w:t xml:space="preserve">3. Financial Breakdown – Quotation Estimate</w:t>
      </w:r>
    </w:p>
    <w:p>
      <w:pPr>
        <w:pStyle w:val="FirstParagraph"/>
      </w:pPr>
      <w:r>
        <w:t xml:space="preserve">The following table presents the itemized costs forming the basis of this</w:t>
      </w:r>
      <w:r>
        <w:t xml:space="preserve"> </w:t>
      </w:r>
      <w:r>
        <w:t xml:space="preserve">Quotation Estimate</w:t>
      </w:r>
      <w:r>
        <w:t xml:space="preserve"> </w:t>
      </w:r>
      <w:r>
        <w:t xml:space="preserve">for the</w:t>
      </w:r>
      <w:r>
        <w:t xml:space="preserve"> </w:t>
      </w:r>
      <w:r>
        <w:t xml:space="preserve">Chemical Engineer</w:t>
      </w:r>
      <w:r>
        <w:t xml:space="preserve"> </w:t>
      </w:r>
      <w:r>
        <w:t xml:space="preserve">services in</w:t>
      </w:r>
      <w:r>
        <w:t xml:space="preserve"> </w:t>
      </w:r>
      <w:r>
        <w:t xml:space="preserve">Netherlands Amsterdam</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Senior Chemical Engineer – Process Audit &amp; Thermodynamic Analysis</w:t>
            </w:r>
          </w:p>
        </w:tc>
        <w:tc>
          <w:tcPr/>
          <w:p>
            <w:pPr>
              <w:pStyle w:val="Compact"/>
              <w:jc w:val="left"/>
            </w:pPr>
            <w:r>
              <w:t xml:space="preserve">40 hours</w:t>
            </w:r>
          </w:p>
        </w:tc>
        <w:tc>
          <w:tcPr/>
          <w:p>
            <w:pPr>
              <w:pStyle w:val="Compact"/>
              <w:jc w:val="left"/>
            </w:pPr>
            <w:r>
              <w:t xml:space="preserve">€185.00/hr</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Chemical Engineer – HAZOP Study &amp; Safety Assessment</w:t>
            </w:r>
          </w:p>
        </w:tc>
        <w:tc>
          <w:tcPr/>
          <w:p>
            <w:pPr>
              <w:pStyle w:val="Compact"/>
              <w:jc w:val="left"/>
            </w:pPr>
            <w:r>
              <w:t xml:space="preserve">60 hours</w:t>
            </w:r>
          </w:p>
        </w:tc>
        <w:tc>
          <w:tcPr/>
          <w:p>
            <w:pPr>
              <w:pStyle w:val="Compact"/>
              <w:jc w:val="left"/>
            </w:pPr>
            <w:r>
              <w:t xml:space="preserve">€185.00/hr</w:t>
            </w:r>
          </w:p>
        </w:tc>
        <w:tc>
          <w:tcPr/>
          <w:p>
            <w:pPr>
              <w:pStyle w:val="Compact"/>
              <w:jc w:val="left"/>
            </w:pPr>
            <w:r>
              <w:t xml:space="preserve">€11,100.00</w:t>
            </w:r>
          </w:p>
        </w:tc>
      </w:tr>
      <w:tr>
        <w:tc>
          <w:tcPr/>
          <w:p>
            <w:pPr>
              <w:pStyle w:val="Compact"/>
              <w:jc w:val="left"/>
            </w:pPr>
            <w:r>
              <w:t xml:space="preserve">03</w:t>
            </w:r>
          </w:p>
        </w:tc>
        <w:tc>
          <w:tcPr/>
          <w:p>
            <w:pPr>
              <w:pStyle w:val="Compact"/>
              <w:jc w:val="left"/>
            </w:pPr>
            <w:r>
              <w:t xml:space="preserve">Regulatory Compliance Review &amp; Permit Documentation</w:t>
            </w:r>
          </w:p>
        </w:tc>
        <w:tc>
          <w:tcPr/>
          <w:p>
            <w:pPr>
              <w:pStyle w:val="Compact"/>
              <w:jc w:val="left"/>
            </w:pPr>
            <w:r>
              <w:t xml:space="preserve">30 hours</w:t>
            </w:r>
          </w:p>
        </w:tc>
        <w:tc>
          <w:tcPr/>
          <w:p>
            <w:pPr>
              <w:pStyle w:val="Compact"/>
              <w:jc w:val="left"/>
            </w:pPr>
            <w:r>
              <w:t xml:space="preserve">€165.00/hr</w:t>
            </w:r>
          </w:p>
        </w:tc>
        <w:tc>
          <w:tcPr/>
          <w:p>
            <w:pPr>
              <w:pStyle w:val="Compact"/>
              <w:jc w:val="left"/>
            </w:pPr>
            <w:r>
              <w:t xml:space="preserve">€4,950.00</w:t>
            </w:r>
          </w:p>
        </w:tc>
      </w:tr>
      <w:tr>
        <w:tc>
          <w:tcPr/>
          <w:p>
            <w:pPr>
              <w:pStyle w:val="Compact"/>
              <w:jc w:val="left"/>
            </w:pPr>
            <w:r>
              <w:t xml:space="preserve">04</w:t>
            </w:r>
          </w:p>
        </w:tc>
        <w:tc>
          <w:tcPr/>
          <w:p>
            <w:pPr>
              <w:pStyle w:val="Compact"/>
              <w:jc w:val="left"/>
            </w:pPr>
            <w:r>
              <w:t xml:space="preserve">CAPEX/OPEX Modelling &amp; Vendor Coordination</w:t>
            </w:r>
          </w:p>
        </w:tc>
        <w:tc>
          <w:tcPr/>
          <w:p>
            <w:pPr>
              <w:pStyle w:val="Compact"/>
              <w:jc w:val="left"/>
            </w:pPr>
            <w:r>
              <w:t xml:space="preserve">25 hours</w:t>
            </w:r>
          </w:p>
        </w:tc>
        <w:tc>
          <w:tcPr/>
          <w:p>
            <w:pPr>
              <w:pStyle w:val="Compact"/>
              <w:jc w:val="left"/>
            </w:pPr>
            <w:r>
              <w:t xml:space="preserve">€165.00/hr</w:t>
            </w:r>
          </w:p>
        </w:tc>
        <w:tc>
          <w:tcPr/>
          <w:p>
            <w:pPr>
              <w:pStyle w:val="Compact"/>
              <w:jc w:val="left"/>
            </w:pPr>
            <w:r>
              <w:t xml:space="preserve">€4,125.00</w:t>
            </w:r>
          </w:p>
        </w:tc>
      </w:tr>
      <w:tr>
        <w:tc>
          <w:tcPr/>
          <w:p>
            <w:pPr>
              <w:pStyle w:val="Compact"/>
              <w:jc w:val="left"/>
            </w:pPr>
            <w:r>
              <w:t xml:space="preserve">05</w:t>
            </w:r>
          </w:p>
        </w:tc>
        <w:tc>
          <w:tcPr/>
          <w:p>
            <w:pPr>
              <w:pStyle w:val="Compact"/>
              <w:jc w:val="left"/>
            </w:pPr>
            <w:r>
              <w:t xml:space="preserve">On-Site Consultation &amp; Operator Training (Netherlands Amsterdam)</w:t>
            </w:r>
          </w:p>
        </w:tc>
        <w:tc>
          <w:tcPr/>
          <w:p>
            <w:pPr>
              <w:pStyle w:val="Compact"/>
              <w:jc w:val="left"/>
            </w:pPr>
            <w:r>
              <w:t xml:space="preserve">12 days</w:t>
            </w:r>
          </w:p>
        </w:tc>
        <w:tc>
          <w:tcPr/>
          <w:p>
            <w:pPr>
              <w:pStyle w:val="Compact"/>
              <w:jc w:val="left"/>
            </w:pPr>
            <w:r>
              <w:t xml:space="preserve">€1,250.00/day</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Travel, Accommodation &amp; Local Transport (Amsterdam area)</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€2,350.00</w:t>
            </w:r>
          </w:p>
        </w:tc>
      </w:tr>
      <w:tr>
        <w:tc>
          <w:tcPr/>
          <w:p>
            <w:pPr>
              <w:pStyle w:val="Compact"/>
              <w:jc w:val="left"/>
            </w:pPr>
            <w:r>
              <w:t xml:space="preserve">07</w:t>
            </w:r>
          </w:p>
        </w:tc>
        <w:tc>
          <w:tcPr/>
          <w:p>
            <w:pPr>
              <w:pStyle w:val="Compact"/>
              <w:jc w:val="left"/>
            </w:pPr>
            <w:r>
              <w:t xml:space="preserve">Technical Report Compilation &amp; Final Presentation</w:t>
            </w:r>
          </w:p>
        </w:tc>
        <w:tc>
          <w:tcPr/>
          <w:p>
            <w:pPr>
              <w:pStyle w:val="Compact"/>
              <w:jc w:val="left"/>
            </w:pPr>
            <w:r>
              <w:t xml:space="preserve">20 hours</w:t>
            </w:r>
          </w:p>
        </w:tc>
        <w:tc>
          <w:tcPr/>
          <w:p>
            <w:pPr>
              <w:pStyle w:val="Compact"/>
              <w:jc w:val="left"/>
            </w:pPr>
            <w:r>
              <w:t xml:space="preserve">€140.00/hr</w:t>
            </w:r>
          </w:p>
        </w:tc>
        <w:tc>
          <w:tcPr/>
          <w:p>
            <w:pPr>
              <w:pStyle w:val="Compact"/>
              <w:jc w:val="left"/>
            </w:pPr>
            <w:r>
              <w:t xml:space="preserve">€2,800.00</w:t>
            </w:r>
          </w:p>
        </w:tc>
      </w:tr>
      <w:tr>
        <w:tc>
          <w:tcPr>
            <w:gridSpan w:val="4"/>
          </w:tcPr>
          <w:p>
            <w:pPr>
              <w:pStyle w:val="Compact"/>
              <w:jc w:val="left"/>
            </w:pPr>
            <w:r>
              <w:t xml:space="preserve">Subtotal (excl. VAT)</w:t>
            </w:r>
          </w:p>
        </w:tc>
        <w:tc>
          <w:tcPr/>
          <w:p>
            <w:pPr>
              <w:pStyle w:val="Compact"/>
              <w:jc w:val="left"/>
            </w:pPr>
            <w:r>
              <w:t xml:space="preserve">€47,725.00</w:t>
            </w:r>
          </w:p>
        </w:tc>
      </w:tr>
      <w:tr>
        <w:tc>
          <w:tcPr>
            <w:gridSpan w:val="4"/>
          </w:tcPr>
          <w:p>
            <w:pPr>
              <w:pStyle w:val="Compact"/>
              <w:jc w:val="left"/>
            </w:pPr>
            <w:r>
              <w:t xml:space="preserve">VAT (21% – Netherlands)</w:t>
            </w:r>
          </w:p>
        </w:tc>
        <w:tc>
          <w:tcPr/>
          <w:p>
            <w:pPr>
              <w:pStyle w:val="Compact"/>
              <w:jc w:val="left"/>
            </w:pPr>
            <w:r>
              <w:t xml:space="preserve">€10,022.25</w:t>
            </w:r>
          </w:p>
        </w:tc>
      </w:tr>
      <w:tr>
        <w:tc>
          <w:tcPr>
            <w:gridSpan w:val="4"/>
          </w:tcPr>
          <w:p>
            <w:pPr>
              <w:pStyle w:val="Compact"/>
              <w:jc w:val="left"/>
            </w:pPr>
            <w:r>
              <w:t xml:space="preserve">TOTAL AMOUNT DUE</w:t>
            </w:r>
          </w:p>
        </w:tc>
        <w:tc>
          <w:tcPr/>
          <w:p>
            <w:pPr>
              <w:pStyle w:val="Compact"/>
              <w:jc w:val="left"/>
            </w:pPr>
            <w:r>
              <w:t xml:space="preserve">€57,747.25</w:t>
            </w:r>
          </w:p>
        </w:tc>
      </w:tr>
    </w:tbl>
    <w:bookmarkEnd w:id="23"/>
    <w:bookmarkStart w:id="24" w:name="payment-terms-and-conditions"/>
    <w:p>
      <w:pPr>
        <w:pStyle w:val="Heading2"/>
      </w:pPr>
      <w:r>
        <w:t xml:space="preserve">4. Payment Terms and Conditions</w:t>
      </w:r>
    </w:p>
    <w:p>
      <w:pPr>
        <w:pStyle w:val="FirstParagraph"/>
      </w:pPr>
      <w:r>
        <w:t xml:space="preserve">This</w:t>
      </w:r>
      <w:r>
        <w:t xml:space="preserve"> </w:t>
      </w:r>
      <w:r>
        <w:t xml:space="preserve">Quotation Estimate</w:t>
      </w:r>
      <w:r>
        <w:t xml:space="preserve"> </w:t>
      </w:r>
      <w:r>
        <w:t xml:space="preserve">is subject to the following payment conditions. A deposit of thirty percent (30%) of the total amount, amounting to €17,324.18, is due upon acceptance of this</w:t>
      </w:r>
      <w:r>
        <w:t xml:space="preserve"> </w:t>
      </w:r>
      <w:r>
        <w:t xml:space="preserve">Quotation Estimate</w:t>
      </w:r>
      <w:r>
        <w:t xml:space="preserve"> </w:t>
      </w:r>
      <w:r>
        <w:t xml:space="preserve">and execution of the Service Agreement. The remaining seventy percent (70%) shall be invoiced in two equal installments: the first upon completion of the HAZOP study and the second upon delivery of the final technical report. All payments are to be made via bank transfer to the account of Amsterdam Process Engineering B.V. at ING Bank N.V., Amsterdam, Netherlands. Late payments shall accrue interest at the statutory Dutch rate as defined under Article 6:119 of the Dutch Civil Code (Burgerlijk Wetboek).</w:t>
      </w:r>
    </w:p>
    <w:bookmarkEnd w:id="24"/>
    <w:bookmarkStart w:id="25" w:name="assumptions-and-exclusions"/>
    <w:p>
      <w:pPr>
        <w:pStyle w:val="Heading2"/>
      </w:pPr>
      <w:r>
        <w:t xml:space="preserve">5. Assumptions and Exclusions</w:t>
      </w:r>
    </w:p>
    <w:p>
      <w:pPr>
        <w:pStyle w:val="FirstParagraph"/>
      </w:pPr>
      <w:r>
        <w:t xml:space="preserve">This</w:t>
      </w:r>
      <w:r>
        <w:t xml:space="preserve"> </w:t>
      </w:r>
      <w:r>
        <w:t xml:space="preserve">Quotation Estimate</w:t>
      </w:r>
      <w:r>
        <w:t xml:space="preserve"> </w:t>
      </w:r>
      <w:r>
        <w:t xml:space="preserve">assumes that the client will provide full access to the Unit 7 reactor system, all existing process documentation, P&amp;ID drawings, and historical operating data within five (5) business days of project commencement. The</w:t>
      </w:r>
      <w:r>
        <w:t xml:space="preserve"> </w:t>
      </w:r>
      <w:r>
        <w:t xml:space="preserve">Chemical Engineer</w:t>
      </w:r>
      <w:r>
        <w:t xml:space="preserve"> </w:t>
      </w:r>
      <w:r>
        <w:t xml:space="preserve">is not responsible for the cost of any physical modifications, equipment procurement, or third-party laboratory analyses. Should the scope of work expand beyond the parameters defined in this</w:t>
      </w:r>
      <w:r>
        <w:t xml:space="preserve"> </w:t>
      </w:r>
      <w:r>
        <w:t xml:space="preserve">Quotation Estimate</w:t>
      </w:r>
      <w:r>
        <w:t xml:space="preserve">, a supplementary</w:t>
      </w:r>
      <w:r>
        <w:t xml:space="preserve"> </w:t>
      </w:r>
      <w:r>
        <w:t xml:space="preserve">Quotation Estimate</w:t>
      </w:r>
      <w:r>
        <w:t xml:space="preserve"> </w:t>
      </w:r>
      <w:r>
        <w:t xml:space="preserve">will be issued for the client's approval prior to any additional work being undertaken. All work will be performed in accordance with the professional code of conduct of the Dutch Society of Chemical Engineers (SVE) and the applicable standards of NEN-EN ISO 9001:2015.</w:t>
      </w:r>
    </w:p>
    <w:bookmarkEnd w:id="25"/>
    <w:bookmarkStart w:id="26" w:name="acceptance-and-validity"/>
    <w:p>
      <w:pPr>
        <w:pStyle w:val="Heading2"/>
      </w:pPr>
      <w:r>
        <w:t xml:space="preserve">6. Acceptance and Validity</w:t>
      </w:r>
    </w:p>
    <w:p>
      <w:pPr>
        <w:pStyle w:val="FirstParagraph"/>
      </w:pPr>
      <w:r>
        <w:t xml:space="preserve">This</w:t>
      </w:r>
      <w:r>
        <w:t xml:space="preserve"> </w:t>
      </w:r>
      <w:r>
        <w:t xml:space="preserve">Quotation Estimate</w:t>
      </w:r>
      <w:r>
        <w:t xml:space="preserve"> </w:t>
      </w:r>
      <w:r>
        <w:t xml:space="preserve">remains valid for a period of ninety (90) calendar days from the date of issue. To accept the terms outlined in this document, the client is requested to sign and return a copy to Amsterdam Process Engineering B.V. within the validity period. Upon acceptance, the</w:t>
      </w:r>
      <w:r>
        <w:t xml:space="preserve"> </w:t>
      </w:r>
      <w:r>
        <w:t xml:space="preserve">Chemical Engineer</w:t>
      </w:r>
      <w:r>
        <w:t xml:space="preserve"> </w:t>
      </w:r>
      <w:r>
        <w:t xml:space="preserve">and supporting team will be formally assigned, and a detailed project schedule with milestone deliverables will be agreed upon in a joint kickoff meeting to be held at the client's premises in</w:t>
      </w:r>
      <w:r>
        <w:t xml:space="preserve"> </w:t>
      </w:r>
      <w:r>
        <w:t xml:space="preserve">Netherlands Amsterdam</w:t>
      </w:r>
      <w:r>
        <w:t xml:space="preserve">.</w:t>
      </w:r>
    </w:p>
    <w:p>
      <w:pPr>
        <w:pStyle w:val="BodyText"/>
      </w:pPr>
      <w:r>
        <w:rPr>
          <w:bCs/>
          <w:b/>
        </w:rPr>
        <w:t xml:space="preserve">For and on behalf of</w:t>
      </w:r>
      <w:r>
        <w:br/>
      </w:r>
      <w:r>
        <w:t xml:space="preserve">Amsterdam Process Engineering B.V.</w:t>
      </w:r>
    </w:p>
    <w:p>
      <w:pPr>
        <w:pStyle w:val="BodyText"/>
      </w:pPr>
      <w:r>
        <w:t xml:space="preserve">Dr. Hendrik van der Berg, PEng</w:t>
      </w:r>
      <w:r>
        <w:br/>
      </w:r>
      <w:r>
        <w:t xml:space="preserve">Lead Chemical Engineer</w:t>
      </w:r>
    </w:p>
    <w:p>
      <w:pPr>
        <w:pStyle w:val="BodyText"/>
      </w:pPr>
      <w:r>
        <w:rPr>
          <w:bCs/>
          <w:b/>
        </w:rPr>
        <w:t xml:space="preserve">Accepted by</w:t>
      </w:r>
      <w:r>
        <w:br/>
      </w:r>
      <w:r>
        <w:t xml:space="preserve">North Sea Petrochemicals N.V.</w:t>
      </w:r>
    </w:p>
    <w:p>
      <w:pPr>
        <w:pStyle w:val="BodyText"/>
      </w:pPr>
      <w:r>
        <w:t xml:space="preserve">Authorized Signatory</w:t>
      </w:r>
      <w:r>
        <w:br/>
      </w:r>
      <w:r>
        <w:t xml:space="preserve">Date: _______________</w:t>
      </w:r>
    </w:p>
    <w:p>
      <w:pPr>
        <w:pStyle w:val="BodyText"/>
      </w:pPr>
      <w:r>
        <w:t xml:space="preserve">Amsterdam Process Engineering B.V. | KvK 74281936 | BSN 856742193 | VAT NL8567.42193.B01</w:t>
      </w:r>
      <w:r>
        <w:br/>
      </w:r>
      <w:r>
        <w:t xml:space="preserve">Keizersgracht 214, 1016 CW Amsterdam, Netherlands | Tel: +31 20 555 0142 | Email: quotations@amsterdamprocess.nl</w:t>
      </w:r>
      <w:r>
        <w:br/>
      </w:r>
      <w:r>
        <w:t xml:space="preserve">This Quotation Estimate is the property of Amsterdam Process Engineering B.V. and may not be reproduced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Netherlands Amsterdam</dc:title>
  <dc:creator/>
  <dc:language>en</dc:language>
  <cp:keywords/>
  <dcterms:created xsi:type="dcterms:W3CDTF">2026-10-10T02:34:45Z</dcterms:created>
  <dcterms:modified xsi:type="dcterms:W3CDTF">2026-10-10T02:34:45Z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