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Chemical Engineer Services — Peru Lima</w:t>
      </w:r>
    </w:p>
    <w:p>
      <w:pPr>
        <w:pStyle w:val="BodyText"/>
      </w:pPr>
      <w:r>
        <w:t xml:space="preserve">Document Reference: QE-CL-2025-0047</w:t>
      </w:r>
    </w:p>
    <w:bookmarkEnd w:id="20"/>
    <w:p>
      <w:pPr>
        <w:pStyle w:val="BodyText"/>
      </w:pPr>
      <w:r>
        <w:rPr>
          <w:bCs/>
          <w:b/>
        </w:rPr>
        <w:t xml:space="preserve">Prepared By:</w:t>
      </w:r>
      <w:r>
        <w:br/>
      </w:r>
      <w:r>
        <w:t xml:space="preserve">Ing. Carlos Mendoza Ríos</w:t>
      </w:r>
      <w:r>
        <w:br/>
      </w:r>
      <w:r>
        <w:t xml:space="preserve">Senior Chemical Engineer</w:t>
      </w:r>
      <w:r>
        <w:br/>
      </w:r>
      <w:r>
        <w:t xml:space="preserve">CIP N° 18472</w:t>
      </w:r>
    </w:p>
    <w:p>
      <w:pPr>
        <w:pStyle w:val="BodyText"/>
      </w:pPr>
      <w:r>
        <w:rPr>
          <w:bCs/>
          <w:b/>
        </w:rPr>
        <w:t xml:space="preserve">Prepared For:</w:t>
      </w:r>
      <w:r>
        <w:br/>
      </w:r>
      <w:r>
        <w:t xml:space="preserve">Minera Andina del Sur S.A.C.</w:t>
      </w:r>
      <w:r>
        <w:br/>
      </w:r>
      <w:r>
        <w:t xml:space="preserve">Av. Javier Prado Este 1250</w:t>
      </w:r>
      <w:r>
        <w:br/>
      </w:r>
      <w:r>
        <w:t xml:space="preserve">San Isidro, Lima, Peru</w:t>
      </w:r>
    </w:p>
    <w:p>
      <w:pPr>
        <w:pStyle w:val="BodyText"/>
      </w:pPr>
      <w:r>
        <w:rPr>
          <w:bCs/>
          <w:b/>
        </w:rPr>
        <w:t xml:space="preserve">Date of Issue:</w:t>
      </w:r>
      <w:r>
        <w:br/>
      </w:r>
      <w:r>
        <w:t xml:space="preserve">June 15, 2025</w:t>
      </w:r>
      <w:r>
        <w:br/>
      </w:r>
      <w:r>
        <w:rPr>
          <w:bCs/>
          <w:b/>
        </w:rPr>
        <w:t xml:space="preserve">Valid Until:</w:t>
      </w:r>
      <w:r>
        <w:br/>
      </w:r>
      <w:r>
        <w:t xml:space="preserve">July 15, 2025</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our firm to formally present the professional fees, technical deliverables, and associated costs for the engagement of a qualified Chemical Engineer to provide comprehensive process design, optimization, and regulatory compliance services for Minera Andina del Sur S.A.C. The scope of work described herein is specifically tailored to the operational requirements of the client's mineral processing facility located in the Callao industrial district, Peru Lima, and is subject to the terms and conditions outlined in this document.</w:t>
      </w:r>
    </w:p>
    <w:p>
      <w:pPr>
        <w:pStyle w:val="BodyText"/>
      </w:pPr>
      <w:r>
        <w:t xml:space="preserve">The Chemical Engineer assigned to this project will hold a valid professional license issued by the Colegio de Ingenieros del Peru and will possess a minimum of fifteen (15) years of experience in hydrometallurgical process design, environmental impact assessment, and industrial safety management within the Peruvian mining sector. All services rendered under this Quotation Estimate will comply with the regulations established by the Ministry of Energy and Mines (MINEM), the National Environmental Certification Agency (OEFA), and the applicable municipal ordinances of the Lima metropolitan area.</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Initial site assessment and process audit of the existing leaching and precipitation circuits at the Peru Lima facility</w:t>
            </w:r>
          </w:p>
        </w:tc>
        <w:tc>
          <w:tcPr/>
          <w:p>
            <w:pPr>
              <w:pStyle w:val="Compact"/>
              <w:jc w:val="left"/>
            </w:pPr>
            <w:r>
              <w:t xml:space="preserve">5 days</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02</w:t>
            </w:r>
          </w:p>
        </w:tc>
        <w:tc>
          <w:tcPr/>
          <w:p>
            <w:pPr>
              <w:pStyle w:val="Compact"/>
              <w:jc w:val="left"/>
            </w:pPr>
            <w:r>
              <w:t xml:space="preserve">Development of a detailed Chemical Engineer process flow diagram (PFD) and piping and instrumentation diagram (P&amp;ID) for the proposed expansion of the cyanidation plant</w:t>
            </w:r>
          </w:p>
        </w:tc>
        <w:tc>
          <w:tcPr/>
          <w:p>
            <w:pPr>
              <w:pStyle w:val="Compact"/>
              <w:jc w:val="left"/>
            </w:pPr>
            <w:r>
              <w:t xml:space="preserve">15 days</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03</w:t>
            </w:r>
          </w:p>
        </w:tc>
        <w:tc>
          <w:tcPr/>
          <w:p>
            <w:pPr>
              <w:pStyle w:val="Compact"/>
              <w:jc w:val="left"/>
            </w:pPr>
            <w:r>
              <w:t xml:space="preserve">Thermodynamic and kinetic modeling of the heap leaching process using industry-standard simulation software (Aspen Plus / HYSYS)</w:t>
            </w:r>
          </w:p>
        </w:tc>
        <w:tc>
          <w:tcPr/>
          <w:p>
            <w:pPr>
              <w:pStyle w:val="Compact"/>
              <w:jc w:val="left"/>
            </w:pPr>
            <w:r>
              <w:t xml:space="preserve">10 days</w:t>
            </w:r>
          </w:p>
        </w:tc>
        <w:tc>
          <w:tcPr/>
          <w:p>
            <w:pPr>
              <w:pStyle w:val="Compact"/>
              <w:jc w:val="left"/>
            </w:pPr>
            <w:r>
              <w:t xml:space="preserve">3,800.00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Preparation of the Environmental Impact Assessment (EIA) technical chapter, including effluent treatment design and tailings management plan, in compliance with OEFA standards for Peru Lima</w:t>
            </w:r>
          </w:p>
        </w:tc>
        <w:tc>
          <w:tcPr/>
          <w:p>
            <w:pPr>
              <w:pStyle w:val="Compact"/>
              <w:jc w:val="left"/>
            </w:pPr>
            <w:r>
              <w:t xml:space="preserve">20 days</w:t>
            </w:r>
          </w:p>
        </w:tc>
        <w:tc>
          <w:tcPr/>
          <w:p>
            <w:pPr>
              <w:pStyle w:val="Compact"/>
              <w:jc w:val="left"/>
            </w:pPr>
            <w:r>
              <w:t xml:space="preserve">4,200.00</w:t>
            </w:r>
          </w:p>
        </w:tc>
        <w:tc>
          <w:tcPr/>
          <w:p>
            <w:pPr>
              <w:pStyle w:val="Compact"/>
              <w:jc w:val="left"/>
            </w:pPr>
            <w:r>
              <w:t xml:space="preserve">84,000.00</w:t>
            </w:r>
          </w:p>
        </w:tc>
      </w:tr>
      <w:tr>
        <w:tc>
          <w:tcPr/>
          <w:p>
            <w:pPr>
              <w:pStyle w:val="Compact"/>
              <w:jc w:val="left"/>
            </w:pPr>
            <w:r>
              <w:t xml:space="preserve">05</w:t>
            </w:r>
          </w:p>
        </w:tc>
        <w:tc>
          <w:tcPr/>
          <w:p>
            <w:pPr>
              <w:pStyle w:val="Compact"/>
              <w:jc w:val="left"/>
            </w:pPr>
            <w:r>
              <w:t xml:space="preserve">Industrial safety risk assessment (HAZOP and FMEA) for all chemical handling areas, with recommendations for process safety management system implementation</w:t>
            </w:r>
          </w:p>
        </w:tc>
        <w:tc>
          <w:tcPr/>
          <w:p>
            <w:pPr>
              <w:pStyle w:val="Compact"/>
              <w:jc w:val="left"/>
            </w:pPr>
            <w:r>
              <w:t xml:space="preserve">8 days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Technical supervision and on-site support during the commissioning phase of the new process units (estimated 30 days of partial availability)</w:t>
            </w:r>
          </w:p>
        </w:tc>
        <w:tc>
          <w:tcPr/>
          <w:p>
            <w:pPr>
              <w:pStyle w:val="Compact"/>
              <w:jc w:val="left"/>
            </w:pPr>
            <w:r>
              <w:t xml:space="preserve">30 days</w:t>
            </w:r>
          </w:p>
        </w:tc>
        <w:tc>
          <w:tcPr/>
          <w:p>
            <w:pPr>
              <w:pStyle w:val="Compact"/>
              <w:jc w:val="left"/>
            </w:pPr>
            <w:r>
              <w:t xml:space="preserve">2,800.00</w:t>
            </w:r>
          </w:p>
        </w:tc>
        <w:tc>
          <w:tcPr/>
          <w:p>
            <w:pPr>
              <w:pStyle w:val="Compact"/>
              <w:jc w:val="left"/>
            </w:pPr>
            <w:r>
              <w:t xml:space="preserve">84,000.00</w:t>
            </w:r>
          </w:p>
        </w:tc>
      </w:tr>
      <w:tr>
        <w:tc>
          <w:tcPr/>
          <w:p>
            <w:pPr>
              <w:pStyle w:val="Compact"/>
              <w:jc w:val="left"/>
            </w:pPr>
            <w:r>
              <w:t xml:space="preserve">07</w:t>
            </w:r>
          </w:p>
        </w:tc>
        <w:tc>
          <w:tcPr/>
          <w:p>
            <w:pPr>
              <w:pStyle w:val="Compact"/>
              <w:jc w:val="left"/>
            </w:pPr>
            <w:r>
              <w:t xml:space="preserve">Preparation of final technical report, as-built documentation, and regulatory submission package for MINEM and the Lima municipal authority</w:t>
            </w:r>
          </w:p>
        </w:tc>
        <w:tc>
          <w:tcPr/>
          <w:p>
            <w:pPr>
              <w:pStyle w:val="Compact"/>
              <w:jc w:val="left"/>
            </w:pPr>
            <w:r>
              <w:t xml:space="preserve">10 days</w:t>
            </w:r>
          </w:p>
        </w:tc>
        <w:tc>
          <w:tcPr/>
          <w:p>
            <w:pPr>
              <w:pStyle w:val="Compact"/>
              <w:jc w:val="left"/>
            </w:pPr>
            <w:r>
              <w:t xml:space="preserve">3,000.00</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Travel, accommodation, and per diem expenses for the Chemical Engineer and support staff within the Peru Lima metropolitan area</w:t>
            </w:r>
          </w:p>
        </w:tc>
        <w:tc>
          <w:tcPr/>
          <w:p>
            <w:pPr>
              <w:pStyle w:val="Compact"/>
              <w:jc w:val="left"/>
            </w:pPr>
            <w:r>
              <w:t xml:space="preserve">108 days</w:t>
            </w:r>
          </w:p>
        </w:tc>
        <w:tc>
          <w:tcPr/>
          <w:p>
            <w:pPr>
              <w:pStyle w:val="Compact"/>
              <w:jc w:val="left"/>
            </w:pPr>
            <w:r>
              <w:t xml:space="preserve">650.00</w:t>
            </w:r>
          </w:p>
        </w:tc>
        <w:tc>
          <w:tcPr/>
          <w:p>
            <w:pPr>
              <w:pStyle w:val="Compact"/>
              <w:jc w:val="left"/>
            </w:pPr>
            <w:r>
              <w:t xml:space="preserve">70,200.00</w:t>
            </w:r>
          </w:p>
        </w:tc>
      </w:tr>
      <w:tr>
        <w:tc>
          <w:tcPr>
            <w:gridSpan w:val="4"/>
          </w:tcPr>
          <w:p>
            <w:pPr>
              <w:pStyle w:val="Compact"/>
              <w:jc w:val="left"/>
            </w:pPr>
            <w:r>
              <w:t xml:space="preserve">SUBTOTAL (PEN)</w:t>
            </w:r>
          </w:p>
        </w:tc>
        <w:tc>
          <w:tcPr/>
          <w:p>
            <w:pPr>
              <w:pStyle w:val="Compact"/>
              <w:jc w:val="left"/>
            </w:pPr>
            <w:r>
              <w:t xml:space="preserve">417,700.00</w:t>
            </w:r>
          </w:p>
        </w:tc>
      </w:tr>
      <w:tr>
        <w:tc>
          <w:tcPr>
            <w:gridSpan w:val="4"/>
          </w:tcPr>
          <w:p>
            <w:pPr>
              <w:pStyle w:val="Compact"/>
              <w:jc w:val="left"/>
            </w:pPr>
            <w:r>
              <w:t xml:space="preserve">Applicable IGV (18%)</w:t>
            </w:r>
          </w:p>
        </w:tc>
        <w:tc>
          <w:tcPr/>
          <w:p>
            <w:pPr>
              <w:pStyle w:val="Compact"/>
              <w:jc w:val="left"/>
            </w:pPr>
            <w:r>
              <w:t xml:space="preserve">75,186.00</w:t>
            </w:r>
          </w:p>
        </w:tc>
      </w:tr>
      <w:tr>
        <w:tc>
          <w:tcPr>
            <w:gridSpan w:val="4"/>
          </w:tcPr>
          <w:p>
            <w:pPr>
              <w:pStyle w:val="Compact"/>
              <w:jc w:val="left"/>
            </w:pPr>
            <w:r>
              <w:t xml:space="preserve">GRAND TOTAL (PEN)</w:t>
            </w:r>
          </w:p>
        </w:tc>
        <w:tc>
          <w:tcPr/>
          <w:p>
            <w:pPr>
              <w:pStyle w:val="Compact"/>
              <w:jc w:val="left"/>
            </w:pPr>
            <w:r>
              <w:t xml:space="preserve">492,886.00</w:t>
            </w:r>
          </w:p>
        </w:tc>
      </w:tr>
    </w:tbl>
    <w:p>
      <w:pPr>
        <w:pStyle w:val="BodyText"/>
      </w:pPr>
      <w:r>
        <w:t xml:space="preserve">All monetary values are expressed in Peruvian Soles (PEN). Exchange rate reference: 1 USD = 3.74 PEN (BCR rate as of June 2025).</w:t>
      </w:r>
    </w:p>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all rates and conditions are subject to revision due to potential changes in material costs, labor market conditions in Peru Lima, or regulatory updates.</w:t>
      </w:r>
    </w:p>
    <w:p>
      <w:pPr>
        <w:pStyle w:val="BodyText"/>
      </w:pPr>
      <w:r>
        <w:rPr>
          <w:bCs/>
          <w:b/>
        </w:rPr>
        <w:t xml:space="preserve">3.2 Payment Schedule:</w:t>
      </w:r>
      <w:r>
        <w:t xml:space="preserve"> </w:t>
      </w:r>
      <w:r>
        <w:t xml:space="preserve">Payment shall be made in four (4) equal installments: 25% upon contract signing, 25% upon completion of the process design deliverables (Items 01–03), 25% upon submission of the EIA and safety documentation (Items 04–05), and the final 25% upon delivery of the as-built documentation and regulatory approval (Items 06–07).</w:t>
      </w:r>
    </w:p>
    <w:p>
      <w:pPr>
        <w:pStyle w:val="BodyText"/>
      </w:pPr>
      <w:r>
        <w:rPr>
          <w:bCs/>
          <w:b/>
        </w:rPr>
        <w:t xml:space="preserve">3.3 Intellectual Property:</w:t>
      </w:r>
      <w:r>
        <w:t xml:space="preserve"> </w:t>
      </w:r>
      <w:r>
        <w:t xml:space="preserve">All process designs, models, reports, and technical documentation produced by the Chemical Engineer under this engagement shall become the exclusive property of the client upon full payment. The Chemical Engineer retains the right to reference the project in professional portfolios with prior written consent.</w:t>
      </w:r>
    </w:p>
    <w:p>
      <w:pPr>
        <w:pStyle w:val="BodyText"/>
      </w:pPr>
      <w:r>
        <w:rPr>
          <w:bCs/>
          <w:b/>
        </w:rPr>
        <w:t xml:space="preserve">3.4 Regulatory Compliance:</w:t>
      </w:r>
      <w:r>
        <w:t xml:space="preserve"> </w:t>
      </w:r>
      <w:r>
        <w:t xml:space="preserve">The Chemical Engineer guarantees that all deliverables will conform to the current Peruvian technical standards (NTP), the regulations of the Ministry of Energy and Mines, and the environmental norms applicable to industrial operations in the Lima region. Any additional regulatory requirements identified during the project will be communicated in writing and may result in a supplementary Quotation Estimate.</w:t>
      </w:r>
    </w:p>
    <w:p>
      <w:pPr>
        <w:pStyle w:val="BodyText"/>
      </w:pPr>
      <w:r>
        <w:rPr>
          <w:bCs/>
          <w:b/>
        </w:rPr>
        <w:t xml:space="preserve">3.5 Force Majeure:</w:t>
      </w:r>
      <w:r>
        <w:t xml:space="preserve"> </w:t>
      </w:r>
      <w:r>
        <w:t xml:space="preserve">Neither party shall be liable for delays or non-performance resulting from events beyond reasonable control, including but not limited to natural disasters, government-mandated shutdowns, or public health emergencies affecting the Peru Lima area.</w:t>
      </w:r>
    </w:p>
    <w:p>
      <w:pPr>
        <w:pStyle w:val="BodyText"/>
      </w:pPr>
      <w:r>
        <w:rPr>
          <w:bCs/>
          <w:b/>
        </w:rPr>
        <w:t xml:space="preserve">3.6 Confidentiality:</w:t>
      </w:r>
      <w:r>
        <w:t xml:space="preserve"> </w:t>
      </w:r>
      <w:r>
        <w:t xml:space="preserve">Both parties agree to maintain strict confidentiality regarding all proprietary information, process parameters, and operational data exchanged during the execution of this Quotation Estimate. This obligation shall survive the termination of the contract for a period of five (5) years.</w:t>
      </w:r>
    </w:p>
    <w:bookmarkEnd w:id="23"/>
    <w:bookmarkStart w:id="24" w:name="assumptions-and-exclusions"/>
    <w:p>
      <w:pPr>
        <w:pStyle w:val="Heading2"/>
      </w:pPr>
      <w:r>
        <w:t xml:space="preserve">4. Assumptions and Exclusions</w:t>
      </w:r>
    </w:p>
    <w:p>
      <w:pPr>
        <w:pStyle w:val="FirstParagraph"/>
      </w:pPr>
      <w:r>
        <w:t xml:space="preserve">This Quotation Estimate assumes that the client will provide timely access to the Peru Lima facility, all existing process documentation, historical operational data, and any third-party reports required for the Chemical Engineer to perform the scope of work. The following items are explicitly excluded from this estimate: civil and structural engineering design, electrical and instrumentation procurement, procurement of process equipment and chemicals, and any legal representation before Peruvian courts or arbitration bodies. Should the client require any of these additional services, a separate Quotation Estimate will be prepared and submitted for approval.</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cost breakdowns presented in this Quotation Estimate for the Chemical Engineer services to be performed in Peru Lima. This document constitutes a binding offer upon the client's written acceptance and the provider's countersignature.</w:t>
      </w:r>
    </w:p>
    <w:p>
      <w:pPr>
        <w:pStyle w:val="BodyText"/>
      </w:pPr>
      <w:r>
        <w:rPr>
          <w:bCs/>
          <w:b/>
        </w:rPr>
        <w:t xml:space="preserve">For the Provider</w:t>
      </w:r>
      <w:r>
        <w:br/>
      </w:r>
      <w:r>
        <w:t xml:space="preserve">Ing. Carlos Mendoza Ríos</w:t>
      </w:r>
      <w:r>
        <w:br/>
      </w:r>
      <w:r>
        <w:t xml:space="preserve">Senior Chemical Engineer</w:t>
      </w:r>
      <w:r>
        <w:br/>
      </w:r>
      <w:r>
        <w:t xml:space="preserve">CIP N° 18472</w:t>
      </w:r>
      <w:r>
        <w:br/>
      </w:r>
      <w:r>
        <w:t xml:space="preserve">Date: _______________</w:t>
      </w:r>
    </w:p>
    <w:p>
      <w:pPr>
        <w:pStyle w:val="BodyText"/>
      </w:pPr>
      <w:r>
        <w:rPr>
          <w:bCs/>
          <w:b/>
        </w:rPr>
        <w:t xml:space="preserve">For the Client</w:t>
      </w:r>
      <w:r>
        <w:br/>
      </w:r>
      <w:r>
        <w:t xml:space="preserve">Minera Andina del Sur S.A.C.</w:t>
      </w:r>
      <w:r>
        <w:br/>
      </w:r>
      <w:r>
        <w:t xml:space="preserve">Authorized Representative</w:t>
      </w:r>
      <w:r>
        <w:br/>
      </w:r>
      <w:r>
        <w:t xml:space="preserve">RUC: 20584736211</w:t>
      </w:r>
      <w:r>
        <w:br/>
      </w:r>
      <w:r>
        <w:t xml:space="preserve">Date: _______________</w:t>
      </w:r>
    </w:p>
    <w:p>
      <w:pPr>
        <w:pStyle w:val="BodyText"/>
      </w:pPr>
      <w:r>
        <w:t xml:space="preserve">This Quotation Estimate was prepared exclusively for the client identified above and may not be reproduced or distributed without prior written authorization. All services will be executed in accordance with the professional ethics code of the Colegio de Ingenieros del Peru and the applicable labor and commercial laws of the Republic of Peru. For inquiries regarding this Quotation Estimate, please contact our office in Peru Lima at +51 1 445-6789 or via email at quotes@quimingenieria-peru.com.pe.</w:t>
      </w:r>
    </w:p>
    <w:p>
      <w:pPr>
        <w:pStyle w:val="BodyText"/>
      </w:pPr>
      <w:r>
        <w:t xml:space="preserve">© 2025 QuimIngeniería Perú S.A.C.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Peru Lima</dc:title>
  <dc:creator/>
  <dc:language>en</dc:language>
  <cp:keywords/>
  <dcterms:created xsi:type="dcterms:W3CDTF">2026-10-10T02:39:51Z</dcterms:created>
  <dcterms:modified xsi:type="dcterms:W3CDTF">2026-10-10T02:39:51Z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