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eridian-engineering-solutions-llc"/>
    <w:p>
      <w:pPr>
        <w:pStyle w:val="Heading1"/>
      </w:pPr>
      <w:r>
        <w:t xml:space="preserve">Meridian Engineering Solutions LLC</w:t>
      </w:r>
    </w:p>
    <w:p>
      <w:pPr>
        <w:pStyle w:val="FirstParagraph"/>
      </w:pPr>
      <w:r>
        <w:t xml:space="preserve">12, Tverskaya Street, Building 4, Office 780</w:t>
      </w:r>
    </w:p>
    <w:p>
      <w:pPr>
        <w:pStyle w:val="BodyText"/>
      </w:pPr>
      <w:r>
        <w:t xml:space="preserve">Moscow, 125009, Russian Federation</w:t>
      </w:r>
    </w:p>
    <w:p>
      <w:pPr>
        <w:pStyle w:val="BodyText"/>
      </w:pPr>
      <w:r>
        <w:t xml:space="preserve">Tel: +7 (495) 555-0142 | Email: quotes@meridian-eng.ru</w:t>
      </w:r>
    </w:p>
    <w:p>
      <w:pPr>
        <w:pStyle w:val="BodyText"/>
      </w:pPr>
      <w:r>
        <w:t xml:space="preserve">INN: 7710458231 | OGRN: 1157746321098</w:t>
      </w:r>
    </w:p>
    <w:bookmarkEnd w:id="20"/>
    <w:p>
      <w:pPr>
        <w:pStyle w:val="BodyText"/>
      </w:pPr>
      <w:r>
        <w:rPr>
          <w:bCs/>
          <w:b/>
        </w:rPr>
        <w:t xml:space="preserve">Quotation No.:</w:t>
      </w:r>
      <w:r>
        <w:t xml:space="preserve"> </w:t>
      </w:r>
      <w:r>
        <w:t xml:space="preserve">QTE-2025-MOS-0472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Russian Ruble (RUB)</w:t>
      </w:r>
    </w:p>
    <w:bookmarkStart w:id="21" w:name="quotation-estimate"/>
    <w:p>
      <w:pPr>
        <w:pStyle w:val="Heading2"/>
      </w:pPr>
      <w:r>
        <w:t xml:space="preserve">Quotation Estimate</w:t>
      </w:r>
    </w:p>
    <w:p>
      <w:pPr>
        <w:pStyle w:val="FirstParagraph"/>
      </w:pPr>
      <w:r>
        <w:t xml:space="preserve">Professional Chemical Engineer Services — Russia Moscow Region</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Volga Petrochemical Industries JSC</w:t>
      </w:r>
    </w:p>
    <w:p>
      <w:pPr>
        <w:pStyle w:val="BodyText"/>
      </w:pPr>
      <w:r>
        <w:rPr>
          <w:bCs/>
          <w:b/>
        </w:rPr>
        <w:t xml:space="preserve">Address:</w:t>
      </w:r>
      <w:r>
        <w:t xml:space="preserve"> </w:t>
      </w:r>
      <w:r>
        <w:t xml:space="preserve">45, Leningradskoye Shosse, Moscow, 125212, Russia</w:t>
      </w:r>
    </w:p>
    <w:p>
      <w:pPr>
        <w:pStyle w:val="BodyText"/>
      </w:pPr>
      <w:r>
        <w:rPr>
          <w:bCs/>
          <w:b/>
        </w:rPr>
        <w:t xml:space="preserve">Contact Person:</w:t>
      </w:r>
      <w:r>
        <w:t xml:space="preserve"> </w:t>
      </w:r>
      <w:r>
        <w:t xml:space="preserve">Mr. Dmitry Kovalenko, Chief Operations Officer</w:t>
      </w:r>
    </w:p>
    <w:p>
      <w:pPr>
        <w:pStyle w:val="BodyText"/>
      </w:pPr>
      <w:r>
        <w:rPr>
          <w:bCs/>
          <w:b/>
        </w:rPr>
        <w:t xml:space="preserve">Email:</w:t>
      </w:r>
      <w:r>
        <w:t xml:space="preserve"> </w:t>
      </w:r>
      <w:r>
        <w:t xml:space="preserve">d.kovalenko@volgapetro.ru</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Meridian Engineering Solutions LLC</w:t>
      </w:r>
    </w:p>
    <w:p>
      <w:pPr>
        <w:pStyle w:val="BodyText"/>
      </w:pPr>
      <w:r>
        <w:rPr>
          <w:bCs/>
          <w:b/>
        </w:rPr>
        <w:t xml:space="preserve">Address:</w:t>
      </w:r>
      <w:r>
        <w:t xml:space="preserve"> </w:t>
      </w:r>
      <w:r>
        <w:t xml:space="preserve">12, Tverskaya Street, Moscow, 125009, Russia</w:t>
      </w:r>
    </w:p>
    <w:p>
      <w:pPr>
        <w:pStyle w:val="BodyText"/>
      </w:pPr>
      <w:r>
        <w:rPr>
          <w:bCs/>
          <w:b/>
        </w:rPr>
        <w:t xml:space="preserve">Contact Person:</w:t>
      </w:r>
      <w:r>
        <w:t xml:space="preserve"> </w:t>
      </w:r>
      <w:r>
        <w:t xml:space="preserve">Dr. Elena Sokolova, Project Director</w:t>
      </w:r>
    </w:p>
    <w:p>
      <w:pPr>
        <w:pStyle w:val="BodyText"/>
      </w:pPr>
      <w:r>
        <w:rPr>
          <w:bCs/>
          <w:b/>
        </w:rPr>
        <w:t xml:space="preserve">Email:</w:t>
      </w:r>
      <w:r>
        <w:t xml:space="preserve"> </w:t>
      </w:r>
      <w:r>
        <w:t xml:space="preserve">e.sokolova@meridian-eng.ru</w:t>
      </w:r>
    </w:p>
    <w:bookmarkEnd w:id="23"/>
    <w:bookmarkStart w:id="24" w:name="X1d1e387ac8bd379c831a0d517e459ee2cc7558b"/>
    <w:p>
      <w:pPr>
        <w:pStyle w:val="Heading2"/>
      </w:pPr>
      <w:r>
        <w:t xml:space="preserve">1. Scope of Work — Chemical Engineer Engagement in Russia Moscow</w:t>
      </w:r>
    </w:p>
    <w:p>
      <w:pPr>
        <w:pStyle w:val="FirstParagraph"/>
      </w:pPr>
      <w:r>
        <w:t xml:space="preserve">This</w:t>
      </w:r>
      <w:r>
        <w:t xml:space="preserve"> </w:t>
      </w:r>
      <w:r>
        <w:t xml:space="preserve">Quotation Estimate</w:t>
      </w:r>
      <w:r>
        <w:t xml:space="preserve"> </w:t>
      </w:r>
      <w:r>
        <w:t xml:space="preserve">is issued by Meridian Engineering Solutions LLC to provide comprehensive professional services of a senior</w:t>
      </w:r>
      <w:r>
        <w:t xml:space="preserve"> </w:t>
      </w:r>
      <w:r>
        <w:t xml:space="preserve">Chemical Engineer</w:t>
      </w:r>
      <w:r>
        <w:t xml:space="preserve"> </w:t>
      </w:r>
      <w:r>
        <w:t xml:space="preserve">for the client's petrochemical processing facility located in the</w:t>
      </w:r>
      <w:r>
        <w:t xml:space="preserve"> </w:t>
      </w:r>
      <w:r>
        <w:t xml:space="preserve">Russia Moscow</w:t>
      </w:r>
      <w:r>
        <w:t xml:space="preserve"> </w:t>
      </w:r>
      <w:r>
        <w:t xml:space="preserve">metropolitan area. The scope encompasses process design optimization, safety compliance auditing, environmental impact assessment, and ongoing technical consultancy in accordance with all applicable Russian Federal Laws, GOST standards, and Rostekhnadzor regulatory requirements.</w:t>
      </w:r>
    </w:p>
    <w:p>
      <w:pPr>
        <w:pStyle w:val="BodyText"/>
      </w:pPr>
      <w:r>
        <w:t xml:space="preserve">The</w:t>
      </w:r>
      <w:r>
        <w:t xml:space="preserve"> </w:t>
      </w:r>
      <w:r>
        <w:t xml:space="preserve">Chemical Engineer</w:t>
      </w:r>
      <w:r>
        <w:t xml:space="preserve"> </w:t>
      </w:r>
      <w:r>
        <w:t xml:space="preserve">assigned to this project will hold a minimum of fifteen (15) years of post-graduate experience in petrochemical process engineering, a valid professional certification issued by the Russian Union of Chemical Engineers, and full authorization to perform engineering activities within the</w:t>
      </w:r>
      <w:r>
        <w:t xml:space="preserve"> </w:t>
      </w:r>
      <w:r>
        <w:t xml:space="preserve">Russia Moscow</w:t>
      </w:r>
      <w:r>
        <w:t xml:space="preserve"> </w:t>
      </w:r>
      <w:r>
        <w:t xml:space="preserve">jurisdiction under Federal Law No. 372-FZ on the Licensing of Certain Types of Activities.</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Chemical Engineer — Process Design &amp; Optimization (on-site, Moscow facility)</w:t>
            </w:r>
          </w:p>
        </w:tc>
        <w:tc>
          <w:tcPr/>
          <w:p>
            <w:pPr>
              <w:pStyle w:val="Compact"/>
              <w:jc w:val="left"/>
            </w:pPr>
            <w:r>
              <w:t xml:space="preserve">120 hours</w:t>
            </w:r>
          </w:p>
        </w:tc>
        <w:tc>
          <w:tcPr/>
          <w:p>
            <w:pPr>
              <w:pStyle w:val="Compact"/>
              <w:jc w:val="left"/>
            </w:pPr>
            <w:r>
              <w:t xml:space="preserve">4,500 / hr</w:t>
            </w:r>
          </w:p>
        </w:tc>
        <w:tc>
          <w:tcPr/>
          <w:p>
            <w:pPr>
              <w:pStyle w:val="Compact"/>
              <w:jc w:val="left"/>
            </w:pPr>
            <w:r>
              <w:t xml:space="preserve">540,000</w:t>
            </w:r>
          </w:p>
        </w:tc>
        <w:tc>
          <w:tcPr/>
          <w:p>
            <w:pPr>
              <w:pStyle w:val="Compact"/>
              <w:jc w:val="left"/>
            </w:pPr>
            <w:r>
              <w:t xml:space="preserve">Includes travel within Moscow</w:t>
            </w:r>
          </w:p>
        </w:tc>
      </w:tr>
      <w:tr>
        <w:tc>
          <w:tcPr/>
          <w:p>
            <w:pPr>
              <w:pStyle w:val="Compact"/>
              <w:jc w:val="left"/>
            </w:pPr>
            <w:r>
              <w:t xml:space="preserve">02</w:t>
            </w:r>
          </w:p>
        </w:tc>
        <w:tc>
          <w:tcPr/>
          <w:p>
            <w:pPr>
              <w:pStyle w:val="Compact"/>
              <w:jc w:val="left"/>
            </w:pPr>
            <w:r>
              <w:t xml:space="preserve">Chemical Engineer — HAZOP Study &amp; Safety Compliance Audit</w:t>
            </w:r>
          </w:p>
        </w:tc>
        <w:tc>
          <w:tcPr/>
          <w:p>
            <w:pPr>
              <w:pStyle w:val="Compact"/>
              <w:jc w:val="left"/>
            </w:pPr>
            <w:r>
              <w:t xml:space="preserve">80 hours</w:t>
            </w:r>
          </w:p>
        </w:tc>
        <w:tc>
          <w:tcPr/>
          <w:p>
            <w:pPr>
              <w:pStyle w:val="Compact"/>
              <w:jc w:val="left"/>
            </w:pPr>
            <w:r>
              <w:t xml:space="preserve">5,200 / hr</w:t>
            </w:r>
          </w:p>
        </w:tc>
        <w:tc>
          <w:tcPr/>
          <w:p>
            <w:pPr>
              <w:pStyle w:val="Compact"/>
              <w:jc w:val="left"/>
            </w:pPr>
            <w:r>
              <w:t xml:space="preserve">416,000</w:t>
            </w:r>
          </w:p>
        </w:tc>
        <w:tc>
          <w:tcPr/>
          <w:p>
            <w:pPr>
              <w:pStyle w:val="Compact"/>
              <w:jc w:val="left"/>
            </w:pPr>
            <w:r>
              <w:t xml:space="preserve">Per Rostekhnadzor guidelines</w:t>
            </w:r>
          </w:p>
        </w:tc>
      </w:tr>
      <w:tr>
        <w:tc>
          <w:tcPr/>
          <w:p>
            <w:pPr>
              <w:pStyle w:val="Compact"/>
              <w:jc w:val="left"/>
            </w:pPr>
            <w:r>
              <w:t xml:space="preserve">03</w:t>
            </w:r>
          </w:p>
        </w:tc>
        <w:tc>
          <w:tcPr/>
          <w:p>
            <w:pPr>
              <w:pStyle w:val="Compact"/>
              <w:jc w:val="left"/>
            </w:pPr>
            <w:r>
              <w:t xml:space="preserve">Environmental Impact Assessment &amp; Emission Modeling (Russia Moscow region)</w:t>
            </w:r>
          </w:p>
        </w:tc>
        <w:tc>
          <w:tcPr/>
          <w:p>
            <w:pPr>
              <w:pStyle w:val="Compact"/>
              <w:jc w:val="left"/>
            </w:pPr>
            <w:r>
              <w:t xml:space="preserve">60 hours</w:t>
            </w:r>
          </w:p>
        </w:tc>
        <w:tc>
          <w:tcPr/>
          <w:p>
            <w:pPr>
              <w:pStyle w:val="Compact"/>
              <w:jc w:val="left"/>
            </w:pPr>
            <w:r>
              <w:t xml:space="preserve">4,800 / hr</w:t>
            </w:r>
          </w:p>
        </w:tc>
        <w:tc>
          <w:tcPr/>
          <w:p>
            <w:pPr>
              <w:pStyle w:val="Compact"/>
              <w:jc w:val="left"/>
            </w:pPr>
            <w:r>
              <w:t xml:space="preserve">288,000</w:t>
            </w:r>
          </w:p>
        </w:tc>
        <w:tc>
          <w:tcPr/>
          <w:p>
            <w:pPr>
              <w:pStyle w:val="Compact"/>
              <w:jc w:val="left"/>
            </w:pPr>
            <w:r>
              <w:t xml:space="preserve">Includes lab sampling coordination</w:t>
            </w:r>
          </w:p>
        </w:tc>
      </w:tr>
      <w:tr>
        <w:tc>
          <w:tcPr/>
          <w:p>
            <w:pPr>
              <w:pStyle w:val="Compact"/>
              <w:jc w:val="left"/>
            </w:pPr>
            <w:r>
              <w:t xml:space="preserve">04</w:t>
            </w:r>
          </w:p>
        </w:tc>
        <w:tc>
          <w:tcPr/>
          <w:p>
            <w:pPr>
              <w:pStyle w:val="Compact"/>
              <w:jc w:val="left"/>
            </w:pPr>
            <w:r>
              <w:t xml:space="preserve">Technical Documentation &amp; GOST Standardization Review</w:t>
            </w:r>
          </w:p>
        </w:tc>
        <w:tc>
          <w:tcPr/>
          <w:p>
            <w:pPr>
              <w:pStyle w:val="Compact"/>
              <w:jc w:val="left"/>
            </w:pPr>
            <w:r>
              <w:t xml:space="preserve">40 hours</w:t>
            </w:r>
          </w:p>
        </w:tc>
        <w:tc>
          <w:tcPr/>
          <w:p>
            <w:pPr>
              <w:pStyle w:val="Compact"/>
              <w:jc w:val="left"/>
            </w:pPr>
            <w:r>
              <w:t xml:space="preserve">4,000 / hr</w:t>
            </w:r>
          </w:p>
        </w:tc>
        <w:tc>
          <w:tcPr/>
          <w:p>
            <w:pPr>
              <w:pStyle w:val="Compact"/>
              <w:jc w:val="left"/>
            </w:pPr>
            <w:r>
              <w:t xml:space="preserve">160,000</w:t>
            </w:r>
          </w:p>
        </w:tc>
        <w:tc>
          <w:tcPr/>
          <w:p>
            <w:pPr>
              <w:pStyle w:val="Compact"/>
              <w:jc w:val="left"/>
            </w:pPr>
            <w:r>
              <w:t xml:space="preserve">Deliverables in Russian &amp; English</w:t>
            </w:r>
          </w:p>
        </w:tc>
      </w:tr>
      <w:tr>
        <w:tc>
          <w:tcPr/>
          <w:p>
            <w:pPr>
              <w:pStyle w:val="Compact"/>
              <w:jc w:val="left"/>
            </w:pPr>
            <w:r>
              <w:t xml:space="preserve">05</w:t>
            </w:r>
          </w:p>
        </w:tc>
        <w:tc>
          <w:tcPr/>
          <w:p>
            <w:pPr>
              <w:pStyle w:val="Compact"/>
              <w:jc w:val="left"/>
            </w:pPr>
            <w:r>
              <w:t xml:space="preserve">Project Management &amp; Client Reporting (Russia Moscow office)</w:t>
            </w:r>
          </w:p>
        </w:tc>
        <w:tc>
          <w:tcPr/>
          <w:p>
            <w:pPr>
              <w:pStyle w:val="Compact"/>
              <w:jc w:val="left"/>
            </w:pPr>
            <w:r>
              <w:t xml:space="preserve">30 hours</w:t>
            </w:r>
          </w:p>
        </w:tc>
        <w:tc>
          <w:tcPr/>
          <w:p>
            <w:pPr>
              <w:pStyle w:val="Compact"/>
              <w:jc w:val="left"/>
            </w:pPr>
            <w:r>
              <w:t xml:space="preserve">3,500 / hr</w:t>
            </w:r>
          </w:p>
        </w:tc>
        <w:tc>
          <w:tcPr/>
          <w:p>
            <w:pPr>
              <w:pStyle w:val="Compact"/>
              <w:jc w:val="left"/>
            </w:pPr>
            <w:r>
              <w:t xml:space="preserve">105,000</w:t>
            </w:r>
          </w:p>
        </w:tc>
        <w:tc>
          <w:tcPr/>
          <w:p>
            <w:pPr>
              <w:pStyle w:val="Compact"/>
              <w:jc w:val="left"/>
            </w:pPr>
            <w:r>
              <w:t xml:space="preserve">Weekly progress reports</w:t>
            </w:r>
          </w:p>
        </w:tc>
      </w:tr>
      <w:tr>
        <w:tc>
          <w:tcPr/>
          <w:p>
            <w:pPr>
              <w:pStyle w:val="Compact"/>
              <w:jc w:val="left"/>
            </w:pPr>
            <w:r>
              <w:t xml:space="preserve">06</w:t>
            </w:r>
          </w:p>
        </w:tc>
        <w:tc>
          <w:tcPr/>
          <w:p>
            <w:pPr>
              <w:pStyle w:val="Compact"/>
              <w:jc w:val="left"/>
            </w:pPr>
            <w:r>
              <w:t xml:space="preserve">Specialized Software Licensing (Aspen Plus, HYSYS — 6-month access)</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185,000</w:t>
            </w:r>
          </w:p>
        </w:tc>
        <w:tc>
          <w:tcPr/>
          <w:p>
            <w:pPr>
              <w:pStyle w:val="Compact"/>
              <w:jc w:val="left"/>
            </w:pPr>
            <w:r>
              <w:t xml:space="preserve">Per-user license, Moscow-based</w:t>
            </w:r>
          </w:p>
        </w:tc>
      </w:tr>
      <w:tr>
        <w:tc>
          <w:tcPr/>
          <w:p>
            <w:pPr>
              <w:pStyle w:val="Compact"/>
              <w:jc w:val="left"/>
            </w:pPr>
            <w:r>
              <w:t xml:space="preserve">07</w:t>
            </w:r>
          </w:p>
        </w:tc>
        <w:tc>
          <w:tcPr/>
          <w:p>
            <w:pPr>
              <w:pStyle w:val="Compact"/>
              <w:jc w:val="left"/>
            </w:pPr>
            <w:r>
              <w:t xml:space="preserve">Travel, Accommodation &amp; Per Diem (if client site is outside central Moscow)</w:t>
            </w:r>
          </w:p>
        </w:tc>
        <w:tc>
          <w:tcPr/>
          <w:p>
            <w:pPr>
              <w:pStyle w:val="Compact"/>
              <w:jc w:val="left"/>
            </w:pPr>
            <w:r>
              <w:t xml:space="preserve">As incurred</w:t>
            </w:r>
          </w:p>
        </w:tc>
        <w:tc>
          <w:tcPr/>
          <w:p>
            <w:pPr>
              <w:pStyle w:val="Compact"/>
              <w:jc w:val="left"/>
            </w:pPr>
            <w:r>
              <w:t xml:space="preserve">Estimate</w:t>
            </w:r>
          </w:p>
        </w:tc>
        <w:tc>
          <w:tcPr/>
          <w:p>
            <w:pPr>
              <w:pStyle w:val="Compact"/>
              <w:jc w:val="left"/>
            </w:pPr>
            <w:r>
              <w:t xml:space="preserve">95,000</w:t>
            </w:r>
          </w:p>
        </w:tc>
        <w:tc>
          <w:tcPr/>
          <w:p>
            <w:pPr>
              <w:pStyle w:val="Compact"/>
              <w:jc w:val="left"/>
            </w:pPr>
            <w:r>
              <w:t xml:space="preserve">Subject to final reconciliation</w:t>
            </w:r>
          </w:p>
        </w:tc>
      </w:tr>
      <w:tr>
        <w:tc>
          <w:tcPr>
            <w:gridSpan w:val="4"/>
          </w:tcPr>
          <w:p>
            <w:pPr>
              <w:pStyle w:val="Compact"/>
              <w:jc w:val="right"/>
            </w:pPr>
            <w:r>
              <w:t xml:space="preserve">Subtotal</w:t>
            </w:r>
          </w:p>
        </w:tc>
        <w:tc>
          <w:tcPr/>
          <w:p>
            <w:pPr>
              <w:pStyle w:val="Compact"/>
              <w:jc w:val="left"/>
            </w:pPr>
            <w:r>
              <w:t xml:space="preserve">1,789,000</w:t>
            </w:r>
          </w:p>
        </w:tc>
        <w:tc>
          <w:tcPr/>
          <w:p>
            <w:pPr>
              <w:pStyle w:val="Compact"/>
            </w:pPr>
          </w:p>
        </w:tc>
      </w:tr>
      <w:tr>
        <w:tc>
          <w:tcPr>
            <w:gridSpan w:val="4"/>
          </w:tcPr>
          <w:p>
            <w:pPr>
              <w:pStyle w:val="Compact"/>
              <w:jc w:val="right"/>
            </w:pPr>
            <w:r>
              <w:t xml:space="preserve">VAT (20% per Russian Tax Code)</w:t>
            </w:r>
          </w:p>
        </w:tc>
        <w:tc>
          <w:tcPr/>
          <w:p>
            <w:pPr>
              <w:pStyle w:val="Compact"/>
              <w:jc w:val="left"/>
            </w:pPr>
            <w:r>
              <w:t xml:space="preserve">357,800</w:t>
            </w:r>
          </w:p>
        </w:tc>
        <w:tc>
          <w:tcPr/>
          <w:p>
            <w:pPr>
              <w:pStyle w:val="Compact"/>
            </w:pPr>
          </w:p>
        </w:tc>
      </w:tr>
      <w:tr>
        <w:tc>
          <w:tcPr>
            <w:gridSpan w:val="4"/>
          </w:tcPr>
          <w:p>
            <w:pPr>
              <w:pStyle w:val="Compact"/>
              <w:jc w:val="right"/>
            </w:pPr>
            <w:r>
              <w:t xml:space="preserve">TOTAL QUOTATION ESTIMATE</w:t>
            </w:r>
          </w:p>
        </w:tc>
        <w:tc>
          <w:tcPr/>
          <w:p>
            <w:pPr>
              <w:pStyle w:val="Compact"/>
              <w:jc w:val="left"/>
            </w:pPr>
            <w:r>
              <w:t xml:space="preserve">2,146,800</w:t>
            </w:r>
          </w:p>
        </w:tc>
        <w:tc>
          <w:tcPr/>
          <w:p>
            <w:pPr>
              <w:pStyle w:val="Compact"/>
              <w:jc w:val="left"/>
            </w:pPr>
            <w:r>
              <w:t xml:space="preserve">RUB</w:t>
            </w:r>
          </w:p>
        </w:tc>
      </w:tr>
    </w:tbl>
    <w:bookmarkEnd w:id="25"/>
    <w:bookmarkStart w:id="26"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Russian Rubles (RUB) via bank transfer to the account of Meridian Engineering Solutions LLC at Sberbank, Moscow Branch (BIC: 044525225, Account: 40702810400000012345). The payment schedule is as follows:</w:t>
      </w:r>
    </w:p>
    <w:p>
      <w:pPr>
        <w:numPr>
          <w:ilvl w:val="0"/>
          <w:numId w:val="1001"/>
        </w:numPr>
        <w:pStyle w:val="Compact"/>
      </w:pPr>
      <w:r>
        <w:rPr>
          <w:bCs/>
          <w:b/>
        </w:rPr>
        <w:t xml:space="preserve">30% Advance Payment (644,040 RUB):</w:t>
      </w:r>
      <w:r>
        <w:t xml:space="preserve"> </w:t>
      </w:r>
      <w:r>
        <w:t xml:space="preserve">Due within five (5) business days of mutual acceptance of this Quotation Estimate and execution of the Service Agreement.</w:t>
      </w:r>
    </w:p>
    <w:p>
      <w:pPr>
        <w:numPr>
          <w:ilvl w:val="0"/>
          <w:numId w:val="1001"/>
        </w:numPr>
        <w:pStyle w:val="Compact"/>
      </w:pPr>
      <w:r>
        <w:rPr>
          <w:bCs/>
          <w:b/>
        </w:rPr>
        <w:t xml:space="preserve">40% Progress Payment (858,720 RUB):</w:t>
      </w:r>
      <w:r>
        <w:t xml:space="preserve"> </w:t>
      </w:r>
      <w:r>
        <w:t xml:space="preserve">Due upon completion of the HAZOP Study and delivery of the Environmental Impact Assessment report.</w:t>
      </w:r>
    </w:p>
    <w:p>
      <w:pPr>
        <w:numPr>
          <w:ilvl w:val="0"/>
          <w:numId w:val="1001"/>
        </w:numPr>
        <w:pStyle w:val="Compact"/>
      </w:pPr>
      <w:r>
        <w:rPr>
          <w:bCs/>
          <w:b/>
        </w:rPr>
        <w:t xml:space="preserve">30% Final Payment (644,040 RUB):</w:t>
      </w:r>
      <w:r>
        <w:t xml:space="preserve"> </w:t>
      </w:r>
      <w:r>
        <w:t xml:space="preserve">Due within ten (10) business days of final project acceptance and handover of all technical documentation.</w:t>
      </w:r>
    </w:p>
    <w:bookmarkEnd w:id="26"/>
    <w:bookmarkStart w:id="27"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Any request for services beyond this period shall require a revised Quotation Estimate reflecting current market rates for Chemical Engineer services in Russia Moscow.</w:t>
      </w:r>
    </w:p>
    <w:p>
      <w:pPr>
        <w:numPr>
          <w:ilvl w:val="0"/>
          <w:numId w:val="1002"/>
        </w:numPr>
        <w:pStyle w:val="Compact"/>
      </w:pPr>
      <w:r>
        <w:t xml:space="preserve">All work performed by the Chemical Engineer shall comply with the Federal Law of the Russian Federation on Industrial Safety, GOST R 51185-99, and the specific regulatory framework governing chemical production facilities in the Moscow administrative district.</w:t>
      </w:r>
    </w:p>
    <w:p>
      <w:pPr>
        <w:numPr>
          <w:ilvl w:val="0"/>
          <w:numId w:val="1002"/>
        </w:numPr>
        <w:pStyle w:val="Compact"/>
      </w:pPr>
      <w:r>
        <w:t xml:space="preserve">The Chemical Engineer shall maintain full professional liability insurance (minimum coverage: 10,000,000 RUB) throughout the engagement period.</w:t>
      </w:r>
    </w:p>
    <w:p>
      <w:pPr>
        <w:numPr>
          <w:ilvl w:val="0"/>
          <w:numId w:val="1002"/>
        </w:numPr>
        <w:pStyle w:val="Compact"/>
      </w:pPr>
      <w:r>
        <w:t xml:space="preserve">Confidentiality: All process data, proprietary formulations, and operational parameters disclosed by the client during the engagement in Russia Moscow shall be treated as strictly confidential and shall not be disclosed to any third party without written consent.</w:t>
      </w:r>
    </w:p>
    <w:p>
      <w:pPr>
        <w:numPr>
          <w:ilvl w:val="0"/>
          <w:numId w:val="1002"/>
        </w:numPr>
        <w:pStyle w:val="Compact"/>
      </w:pPr>
      <w:r>
        <w:t xml:space="preserve">Force Majeure: Neither party shall be liable for delays caused by events beyond reasonable control, including but not limited to government-mandated shutdowns, natural disasters, or changes in Russian federal legislation affecting chemical engineering operations.</w:t>
      </w:r>
    </w:p>
    <w:p>
      <w:pPr>
        <w:numPr>
          <w:ilvl w:val="0"/>
          <w:numId w:val="1002"/>
        </w:numPr>
        <w:pStyle w:val="Compact"/>
      </w:pPr>
      <w:r>
        <w:t xml:space="preserve">Dispute Resolution: Any disputes arising from this Quotation Estimate shall be resolved through arbitration at the Arbitration Court of the City of Moscow in accordance with the Arbitration Procedure Code of the Russian Federation.</w:t>
      </w:r>
    </w:p>
    <w:p>
      <w:pPr>
        <w:numPr>
          <w:ilvl w:val="0"/>
          <w:numId w:val="1002"/>
        </w:numPr>
        <w:pStyle w:val="Compact"/>
      </w:pPr>
      <w:r>
        <w:t xml:space="preserve">Intellectual Property: All reports, designs, and documentation produced by the Chemical Engineer under this engagement shall become the exclusive property of the client upon full payment.</w:t>
      </w:r>
    </w:p>
    <w:p>
      <w:pPr>
        <w:numPr>
          <w:ilvl w:val="0"/>
          <w:numId w:val="1002"/>
        </w:numPr>
        <w:pStyle w:val="Compact"/>
      </w:pPr>
      <w:r>
        <w:t xml:space="preserve">This Quotation Estimate does not constitute a binding contract until both parties have executed the formal Service Agreement in duplicate.</w:t>
      </w:r>
    </w:p>
    <w:bookmarkEnd w:id="27"/>
    <w:bookmarkStart w:id="28" w:name="acceptance-authorization"/>
    <w:p>
      <w:pPr>
        <w:pStyle w:val="Heading2"/>
      </w:pPr>
      <w:r>
        <w:t xml:space="preserve">5. Acceptance &amp; Authorization</w:t>
      </w:r>
    </w:p>
    <w:p>
      <w:pPr>
        <w:pStyle w:val="FirstParagraph"/>
      </w:pPr>
      <w:r>
        <w:t xml:space="preserve">By signing below, both parties acknowledge and accept the terms, scope, and pricing outlined in this Quotation Estimate for Chemical Engineer services to be delivered in Russia Moscow.</w:t>
      </w:r>
    </w:p>
    <w:p>
      <w:pPr>
        <w:pStyle w:val="BodyText"/>
      </w:pPr>
      <w:r>
        <w:rPr>
          <w:bCs/>
          <w:b/>
        </w:rPr>
        <w:t xml:space="preserve">For and on behalf of the Provider:</w:t>
      </w:r>
    </w:p>
    <w:p>
      <w:pPr>
        <w:pStyle w:val="BodyText"/>
      </w:pPr>
      <w:r>
        <w:t xml:space="preserve">Meridian Engineering Solutions LLC</w:t>
      </w:r>
    </w:p>
    <w:p>
      <w:pPr>
        <w:pStyle w:val="BodyText"/>
      </w:pPr>
      <w:r>
        <w:t xml:space="preserve">Dr. Elena Sokolova, Project Director</w:t>
      </w:r>
    </w:p>
    <w:p>
      <w:pPr>
        <w:pStyle w:val="BodyText"/>
      </w:pPr>
      <w:r>
        <w:t xml:space="preserve">Date: _______________</w:t>
      </w:r>
    </w:p>
    <w:p>
      <w:pPr>
        <w:pStyle w:val="BodyText"/>
      </w:pPr>
      <w:r>
        <w:rPr>
          <w:bCs/>
          <w:b/>
        </w:rPr>
        <w:t xml:space="preserve">For and on behalf of the Client:</w:t>
      </w:r>
    </w:p>
    <w:p>
      <w:pPr>
        <w:pStyle w:val="BodyText"/>
      </w:pPr>
      <w:r>
        <w:t xml:space="preserve">Volga Petrochemical Industries JSC</w:t>
      </w:r>
    </w:p>
    <w:p>
      <w:pPr>
        <w:pStyle w:val="BodyText"/>
      </w:pPr>
      <w:r>
        <w:t xml:space="preserve">Mr. Dmitry Kovalenko, COO</w:t>
      </w:r>
    </w:p>
    <w:p>
      <w:pPr>
        <w:pStyle w:val="BodyText"/>
      </w:pPr>
      <w:r>
        <w:t xml:space="preserve">Date: _______________</w:t>
      </w:r>
    </w:p>
    <w:p>
      <w:pPr>
        <w:pStyle w:val="BodyText"/>
      </w:pPr>
      <w:r>
        <w:t xml:space="preserve">Meridian Engineering Solutions LLC — Quotation Estimate QTE-2025-MOS-0472 — Page 1 of 1</w:t>
      </w:r>
    </w:p>
    <w:p>
      <w:pPr>
        <w:pStyle w:val="BodyText"/>
      </w:pPr>
      <w:r>
        <w:t xml:space="preserve">This document is generated electronically and is valid without a physical seal. For verification, contact quotes@meridian-eng.ru or +7 (495) 555-0142.</w:t>
      </w:r>
    </w:p>
    <w:p>
      <w:pPr>
        <w:pStyle w:val="BodyText"/>
      </w:pPr>
      <w:r>
        <w:t xml:space="preserve">© 2025 Meridian Engineering Solutions LLC. All rights reserved. Moscow, Russian Federation.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Russia Moscow</dc:title>
  <dc:creator/>
  <dc:language>en</dc:language>
  <cp:keywords/>
  <dcterms:created xsi:type="dcterms:W3CDTF">2026-10-10T01:22:28Z</dcterms:created>
  <dcterms:modified xsi:type="dcterms:W3CDTF">2026-10-10T01:22:28Z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