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Chemical Engineer Services — Spain Barcelona</w:t>
      </w:r>
    </w:p>
    <w:p>
      <w:pPr>
        <w:pStyle w:val="BodyText"/>
      </w:pPr>
      <w:r>
        <w:t xml:space="preserve">Ref: QE-2025-BCN-0472 | Validity: 60 Days from Issue Date</w:t>
      </w:r>
    </w:p>
    <w:bookmarkEnd w:id="20"/>
    <w:p>
      <w:pPr>
        <w:pStyle w:val="BodyText"/>
      </w:pPr>
      <w:r>
        <w:rPr>
          <w:bCs/>
          <w:b/>
        </w:rPr>
        <w:t xml:space="preserve">Issued By:</w:t>
      </w:r>
      <w:r>
        <w:br/>
      </w:r>
      <w:r>
        <w:t xml:space="preserve">Barcelona Process Engineering S.L.</w:t>
      </w:r>
      <w:r>
        <w:br/>
      </w:r>
      <w:r>
        <w:t xml:space="preserve">Av. Diagonal 650, 08028 Barcelona, Spain</w:t>
      </w:r>
      <w:r>
        <w:br/>
      </w:r>
      <w:r>
        <w:t xml:space="preserve">CIF: B-65432109</w:t>
      </w:r>
      <w:r>
        <w:br/>
      </w:r>
      <w:r>
        <w:t xml:space="preserve">Tel: +34 93 456 7890</w:t>
      </w:r>
      <w:r>
        <w:br/>
      </w:r>
      <w:r>
        <w:t xml:space="preserve">Email: quotes@barcelonaprocess.es</w:t>
      </w:r>
    </w:p>
    <w:p>
      <w:pPr>
        <w:pStyle w:val="BodyText"/>
      </w:pPr>
      <w:r>
        <w:rPr>
          <w:bCs/>
          <w:b/>
        </w:rPr>
        <w:t xml:space="preserve">Prepared For:</w:t>
      </w:r>
      <w:r>
        <w:br/>
      </w:r>
      <w:r>
        <w:t xml:space="preserve">[Client Company Name]</w:t>
      </w:r>
      <w:r>
        <w:br/>
      </w:r>
      <w:r>
        <w:t xml:space="preserve">[Client Address]</w:t>
      </w:r>
      <w:r>
        <w:br/>
      </w:r>
      <w:r>
        <w:t xml:space="preserve">[City, Postal Code], Spain</w:t>
      </w:r>
      <w:r>
        <w:br/>
      </w:r>
      <w:r>
        <w:t xml:space="preserve">CIF/NIF: [Client Tax ID]</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Barcelona Process Engineering S.L. to provide a comprehensive and transparent financial proposal for the engagement of a qualified</w:t>
      </w:r>
      <w:r>
        <w:t xml:space="preserve"> </w:t>
      </w:r>
      <w:r>
        <w:t xml:space="preserve">Chemical Engineer</w:t>
      </w:r>
      <w:r>
        <w:t xml:space="preserve"> </w:t>
      </w:r>
      <w:r>
        <w:t xml:space="preserve">to deliver specialized technical services within the region of</w:t>
      </w:r>
      <w:r>
        <w:t xml:space="preserve"> </w:t>
      </w:r>
      <w:r>
        <w:t xml:space="preserve">Spain Barcelona</w:t>
      </w:r>
      <w:r>
        <w:t xml:space="preserve">. The scope of work outlined herein has been carefully tailored to meet the operational, regulatory, and industrial requirements specific to the Barcelona metropolitan area and its surrounding industrial zones, including the Zona Franca, the Port of Barcelona, and the chemical and pharmaceutical clusters along the Llobregat River corridor.</w:t>
      </w:r>
    </w:p>
    <w:p>
      <w:pPr>
        <w:pStyle w:val="BodyText"/>
      </w:pPr>
      <w:r>
        <w:t xml:space="preserve">The</w:t>
      </w:r>
      <w:r>
        <w:t xml:space="preserve"> </w:t>
      </w:r>
      <w:r>
        <w:t xml:space="preserve">Quotation Estimate</w:t>
      </w:r>
      <w:r>
        <w:t xml:space="preserve"> </w:t>
      </w:r>
      <w:r>
        <w:t xml:space="preserve">presented below reflects current market rates for</w:t>
      </w:r>
      <w:r>
        <w:t xml:space="preserve"> </w:t>
      </w:r>
      <w:r>
        <w:t xml:space="preserve">Chemical Engineer</w:t>
      </w:r>
      <w:r>
        <w:t xml:space="preserve"> </w:t>
      </w:r>
      <w:r>
        <w:t xml:space="preserve">professional services as of the date of issue, taking into account the cost of living, labor market conditions, and regulatory compliance obligations applicable in</w:t>
      </w:r>
      <w:r>
        <w:t xml:space="preserve"> </w:t>
      </w:r>
      <w:r>
        <w:t xml:space="preserve">Spain Barcelona</w:t>
      </w:r>
      <w:r>
        <w:t xml:space="preserve">. All figures are expressed in Euros (EUR) and are subject to the applicable Value Added Tax (VAT / IVA) at the standard rate of 21% as governed by Spanish fiscal legislation.</w:t>
      </w:r>
    </w:p>
    <w:bookmarkEnd w:id="21"/>
    <w:bookmarkStart w:id="22" w:name="X078db154560d0f9da4e3b109dd40a6b96ade2fa"/>
    <w:p>
      <w:pPr>
        <w:pStyle w:val="Heading2"/>
      </w:pPr>
      <w:r>
        <w:t xml:space="preserve">2. Scope of Services — Chemical Engineer Engagement</w:t>
      </w:r>
    </w:p>
    <w:p>
      <w:pPr>
        <w:pStyle w:val="FirstParagraph"/>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shall provide the following professional services in</w:t>
      </w:r>
      <w:r>
        <w:t xml:space="preserve"> </w:t>
      </w:r>
      <w:r>
        <w:t xml:space="preserve">Spain Barcelona</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w:t>
            </w:r>
          </w:p>
        </w:tc>
      </w:tr>
      <w:tr>
        <w:tc>
          <w:tcPr/>
          <w:p>
            <w:pPr>
              <w:pStyle w:val="Compact"/>
              <w:jc w:val="left"/>
            </w:pPr>
            <w:r>
              <w:t xml:space="preserve">Process Design &amp; Optimization</w:t>
            </w:r>
          </w:p>
        </w:tc>
        <w:tc>
          <w:tcPr/>
          <w:p>
            <w:pPr>
              <w:pStyle w:val="Compact"/>
              <w:jc w:val="left"/>
            </w:pPr>
            <w:r>
              <w:t xml:space="preserve">Design, simulation, and optimization of chemical processing units compliant with EU and Spanish industrial regulations in Barcelona.</w:t>
            </w:r>
          </w:p>
        </w:tc>
        <w:tc>
          <w:tcPr/>
          <w:p>
            <w:pPr>
              <w:pStyle w:val="Compact"/>
              <w:jc w:val="left"/>
            </w:pPr>
            <w:r>
              <w:t xml:space="preserve">120 hours</w:t>
            </w:r>
          </w:p>
        </w:tc>
        <w:tc>
          <w:tcPr/>
          <w:p>
            <w:pPr>
              <w:pStyle w:val="Compact"/>
              <w:jc w:val="left"/>
            </w:pPr>
            <w:r>
              <w:t xml:space="preserve">Hourly</w:t>
            </w:r>
          </w:p>
        </w:tc>
      </w:tr>
      <w:tr>
        <w:tc>
          <w:tcPr/>
          <w:p>
            <w:pPr>
              <w:pStyle w:val="Compact"/>
              <w:jc w:val="left"/>
            </w:pPr>
            <w:r>
              <w:t xml:space="preserve">Plant Safety &amp; HAZOP Studies</w:t>
            </w:r>
          </w:p>
        </w:tc>
        <w:tc>
          <w:tcPr/>
          <w:p>
            <w:pPr>
              <w:pStyle w:val="Compact"/>
              <w:jc w:val="left"/>
            </w:pPr>
            <w:r>
              <w:t xml:space="preserve">Conduct Hazard and Operability (HAZOP) analyses and safety assessments for existing facilities in the Barcelona industrial zone.</w:t>
            </w:r>
          </w:p>
        </w:tc>
        <w:tc>
          <w:tcPr/>
          <w:p>
            <w:pPr>
              <w:pStyle w:val="Compact"/>
              <w:jc w:val="left"/>
            </w:pPr>
            <w:r>
              <w:t xml:space="preserve">80 hours</w:t>
            </w:r>
          </w:p>
        </w:tc>
        <w:tc>
          <w:tcPr/>
          <w:p>
            <w:pPr>
              <w:pStyle w:val="Compact"/>
              <w:jc w:val="left"/>
            </w:pPr>
            <w:r>
              <w:t xml:space="preserve">Hourly</w:t>
            </w:r>
          </w:p>
        </w:tc>
      </w:tr>
      <w:tr>
        <w:tc>
          <w:tcPr/>
          <w:p>
            <w:pPr>
              <w:pStyle w:val="Compact"/>
              <w:jc w:val="left"/>
            </w:pPr>
            <w:r>
              <w:t xml:space="preserve">Environmental Compliance Reporting</w:t>
            </w:r>
          </w:p>
        </w:tc>
        <w:tc>
          <w:tcPr/>
          <w:p>
            <w:pPr>
              <w:pStyle w:val="Compact"/>
              <w:jc w:val="left"/>
            </w:pPr>
            <w:r>
              <w:t xml:space="preserve">Preparation of environmental impact reports and emissions monitoring documentation required by the Generalitat de Catalunya and the Spanish Ministry for Ecological Transition.</w:t>
            </w:r>
          </w:p>
        </w:tc>
        <w:tc>
          <w:tcPr/>
          <w:p>
            <w:pPr>
              <w:pStyle w:val="Compact"/>
              <w:jc w:val="left"/>
            </w:pPr>
            <w:r>
              <w:t xml:space="preserve">60 hours</w:t>
            </w:r>
          </w:p>
        </w:tc>
        <w:tc>
          <w:tcPr/>
          <w:p>
            <w:pPr>
              <w:pStyle w:val="Compact"/>
              <w:jc w:val="left"/>
            </w:pPr>
            <w:r>
              <w:t xml:space="preserve">Hourly</w:t>
            </w:r>
          </w:p>
        </w:tc>
      </w:tr>
      <w:tr>
        <w:tc>
          <w:tcPr/>
          <w:p>
            <w:pPr>
              <w:pStyle w:val="Compact"/>
              <w:jc w:val="left"/>
            </w:pPr>
            <w:r>
              <w:t xml:space="preserve">Technical Consultation &amp; Site Visits</w:t>
            </w:r>
          </w:p>
        </w:tc>
        <w:tc>
          <w:tcPr/>
          <w:p>
            <w:pPr>
              <w:pStyle w:val="Compact"/>
              <w:jc w:val="left"/>
            </w:pPr>
            <w:r>
              <w:t xml:space="preserve">On-site inspections, technical advisory sessions, and coordination with local authorities in Spain Barcelona.</w:t>
            </w:r>
          </w:p>
        </w:tc>
        <w:tc>
          <w:tcPr/>
          <w:p>
            <w:pPr>
              <w:pStyle w:val="Compact"/>
              <w:jc w:val="left"/>
            </w:pPr>
            <w:r>
              <w:t xml:space="preserve">40 hours</w:t>
            </w:r>
          </w:p>
        </w:tc>
        <w:tc>
          <w:tcPr/>
          <w:p>
            <w:pPr>
              <w:pStyle w:val="Compact"/>
              <w:jc w:val="left"/>
            </w:pPr>
            <w:r>
              <w:t xml:space="preserve">Hourly</w:t>
            </w:r>
          </w:p>
        </w:tc>
      </w:tr>
      <w:tr>
        <w:tc>
          <w:tcPr/>
          <w:p>
            <w:pPr>
              <w:pStyle w:val="Compact"/>
              <w:jc w:val="left"/>
            </w:pPr>
            <w:r>
              <w:t xml:space="preserve">Project Management &amp; Reporting</w:t>
            </w:r>
          </w:p>
        </w:tc>
        <w:tc>
          <w:tcPr/>
          <w:p>
            <w:pPr>
              <w:pStyle w:val="Compact"/>
              <w:jc w:val="left"/>
            </w:pPr>
            <w:r>
              <w:t xml:space="preserve">Overall project coordination, progress reporting, and deliverable management for the full engagement period.</w:t>
            </w:r>
          </w:p>
        </w:tc>
        <w:tc>
          <w:tcPr/>
          <w:p>
            <w:pPr>
              <w:pStyle w:val="Compact"/>
              <w:jc w:val="left"/>
            </w:pPr>
            <w:r>
              <w:t xml:space="preserve">50 hours</w:t>
            </w:r>
          </w:p>
        </w:tc>
        <w:tc>
          <w:tcPr/>
          <w:p>
            <w:pPr>
              <w:pStyle w:val="Compact"/>
              <w:jc w:val="left"/>
            </w:pPr>
            <w:r>
              <w:t xml:space="preserve">Hourly</w:t>
            </w:r>
          </w:p>
        </w:tc>
      </w:tr>
    </w:tbl>
    <w:bookmarkEnd w:id="22"/>
    <w:bookmarkStart w:id="23" w:name="Xacf8b12239adea75b6f5c5fe9d6be96bc84f3e1"/>
    <w:p>
      <w:pPr>
        <w:pStyle w:val="Heading2"/>
      </w:pPr>
      <w:r>
        <w:t xml:space="preserve">3. Financial Breakdown of the Quotation Estimate</w:t>
      </w:r>
    </w:p>
    <w:p>
      <w:pPr>
        <w:pStyle w:val="FirstParagraph"/>
      </w:pPr>
      <w:r>
        <w:t xml:space="preserve">The following table details the cost structure of this</w:t>
      </w:r>
      <w:r>
        <w:t xml:space="preserve"> </w:t>
      </w:r>
      <w:r>
        <w:t xml:space="preserve">Quotation Estimate</w:t>
      </w:r>
      <w:r>
        <w:t xml:space="preserve"> </w:t>
      </w:r>
      <w:r>
        <w:t xml:space="preserve">for the</w:t>
      </w:r>
      <w:r>
        <w:t xml:space="preserve"> </w:t>
      </w:r>
      <w:r>
        <w:t xml:space="preserve">Chemical Engineer</w:t>
      </w:r>
      <w:r>
        <w:t xml:space="preserve"> </w:t>
      </w:r>
      <w:r>
        <w:t xml:space="preserve">services to be rendered in</w:t>
      </w:r>
      <w:r>
        <w:t xml:space="preserve"> </w:t>
      </w:r>
      <w:r>
        <w:t xml:space="preserve">Spain Barcelona</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Quantity (Hours)</w:t>
            </w:r>
          </w:p>
        </w:tc>
        <w:tc>
          <w:tcPr/>
          <w:p>
            <w:pPr>
              <w:pStyle w:val="Compact"/>
              <w:jc w:val="left"/>
            </w:pPr>
            <w:r>
              <w:t xml:space="preserve">Rate (EUR/hour)</w:t>
            </w:r>
          </w:p>
        </w:tc>
        <w:tc>
          <w:tcPr/>
          <w:p>
            <w:pPr>
              <w:pStyle w:val="Compact"/>
              <w:jc w:val="left"/>
            </w:pPr>
            <w:r>
              <w:t xml:space="preserve">Subtotal (EUR)</w:t>
            </w:r>
          </w:p>
        </w:tc>
      </w:tr>
      <w:tr>
        <w:tc>
          <w:tcPr/>
          <w:p>
            <w:pPr>
              <w:pStyle w:val="Compact"/>
              <w:jc w:val="left"/>
            </w:pPr>
            <w:r>
              <w:t xml:space="preserve">Process Design &amp; Optimization</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Plant Safety &amp; HAZOP Studies</w:t>
            </w:r>
          </w:p>
        </w:tc>
        <w:tc>
          <w:tcPr/>
          <w:p>
            <w:pPr>
              <w:pStyle w:val="Compact"/>
              <w:jc w:val="left"/>
            </w:pPr>
            <w:r>
              <w:t xml:space="preserve">80</w:t>
            </w:r>
          </w:p>
        </w:tc>
        <w:tc>
          <w:tcPr/>
          <w:p>
            <w:pPr>
              <w:pStyle w:val="Compact"/>
              <w:jc w:val="left"/>
            </w:pPr>
            <w:r>
              <w:t xml:space="preserve">105.00</w:t>
            </w:r>
          </w:p>
        </w:tc>
        <w:tc>
          <w:tcPr/>
          <w:p>
            <w:pPr>
              <w:pStyle w:val="Compact"/>
              <w:jc w:val="left"/>
            </w:pPr>
            <w:r>
              <w:t xml:space="preserve">8,400.00</w:t>
            </w:r>
          </w:p>
        </w:tc>
      </w:tr>
      <w:tr>
        <w:tc>
          <w:tcPr/>
          <w:p>
            <w:pPr>
              <w:pStyle w:val="Compact"/>
              <w:jc w:val="left"/>
            </w:pPr>
            <w:r>
              <w:t xml:space="preserve">Environmental Compliance Reporting</w:t>
            </w:r>
          </w:p>
        </w:tc>
        <w:tc>
          <w:tcPr/>
          <w:p>
            <w:pPr>
              <w:pStyle w:val="Compact"/>
              <w:jc w:val="left"/>
            </w:pPr>
            <w:r>
              <w:t xml:space="preserve">60</w:t>
            </w:r>
          </w:p>
        </w:tc>
        <w:tc>
          <w:tcPr/>
          <w:p>
            <w:pPr>
              <w:pStyle w:val="Compact"/>
              <w:jc w:val="left"/>
            </w:pPr>
            <w:r>
              <w:t xml:space="preserve">90.00</w:t>
            </w:r>
          </w:p>
        </w:tc>
        <w:tc>
          <w:tcPr/>
          <w:p>
            <w:pPr>
              <w:pStyle w:val="Compact"/>
              <w:jc w:val="left"/>
            </w:pPr>
            <w:r>
              <w:t xml:space="preserve">5,400.00</w:t>
            </w:r>
          </w:p>
        </w:tc>
      </w:tr>
      <w:tr>
        <w:tc>
          <w:tcPr/>
          <w:p>
            <w:pPr>
              <w:pStyle w:val="Compact"/>
              <w:jc w:val="left"/>
            </w:pPr>
            <w:r>
              <w:t xml:space="preserve">Technical Consultation &amp; Site Visits</w:t>
            </w:r>
          </w:p>
        </w:tc>
        <w:tc>
          <w:tcPr/>
          <w:p>
            <w:pPr>
              <w:pStyle w:val="Compact"/>
              <w:jc w:val="left"/>
            </w:pPr>
            <w:r>
              <w:t xml:space="preserve">40</w:t>
            </w:r>
          </w:p>
        </w:tc>
        <w:tc>
          <w:tcPr/>
          <w:p>
            <w:pPr>
              <w:pStyle w:val="Compact"/>
              <w:jc w:val="left"/>
            </w:pPr>
            <w:r>
              <w:t xml:space="preserve">110.00</w:t>
            </w:r>
          </w:p>
        </w:tc>
        <w:tc>
          <w:tcPr/>
          <w:p>
            <w:pPr>
              <w:pStyle w:val="Compact"/>
              <w:jc w:val="left"/>
            </w:pPr>
            <w:r>
              <w:t xml:space="preserve">4,400.00</w:t>
            </w:r>
          </w:p>
        </w:tc>
      </w:tr>
      <w:tr>
        <w:tc>
          <w:tcPr/>
          <w:p>
            <w:pPr>
              <w:pStyle w:val="Compact"/>
              <w:jc w:val="left"/>
            </w:pPr>
            <w:r>
              <w:t xml:space="preserve">Project Management &amp; Reporting</w:t>
            </w:r>
          </w:p>
        </w:tc>
        <w:tc>
          <w:tcPr/>
          <w:p>
            <w:pPr>
              <w:pStyle w:val="Compact"/>
              <w:jc w:val="left"/>
            </w:pPr>
            <w:r>
              <w:t xml:space="preserve">50</w:t>
            </w:r>
          </w:p>
        </w:tc>
        <w:tc>
          <w:tcPr/>
          <w:p>
            <w:pPr>
              <w:pStyle w:val="Compact"/>
              <w:jc w:val="left"/>
            </w:pPr>
            <w:r>
              <w:t xml:space="preserve">85.00</w:t>
            </w:r>
          </w:p>
        </w:tc>
        <w:tc>
          <w:tcPr/>
          <w:p>
            <w:pPr>
              <w:pStyle w:val="Compact"/>
              <w:jc w:val="left"/>
            </w:pPr>
            <w:r>
              <w:t xml:space="preserve">4,250.00</w:t>
            </w:r>
          </w:p>
        </w:tc>
      </w:tr>
      <w:tr>
        <w:tc>
          <w:tcPr/>
          <w:p>
            <w:pPr>
              <w:pStyle w:val="Compact"/>
              <w:jc w:val="left"/>
            </w:pPr>
            <w:r>
              <w:t xml:space="preserve">Travel &amp; Local Transportation (Barcelona area)</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Software Licenses &amp; Simulation Tools (Aspen Plus, HYSYS)</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r>
        <w:tc>
          <w:tcPr>
            <w:gridSpan w:val="3"/>
          </w:tcPr>
          <w:p>
            <w:pPr>
              <w:pStyle w:val="Compact"/>
              <w:jc w:val="left"/>
            </w:pPr>
            <w:r>
              <w:t xml:space="preserve">Subtotal (before VAT)</w:t>
            </w:r>
          </w:p>
        </w:tc>
        <w:tc>
          <w:tcPr/>
          <w:p>
            <w:pPr>
              <w:pStyle w:val="Compact"/>
              <w:jc w:val="left"/>
            </w:pPr>
            <w:r>
              <w:t xml:space="preserve">36,900.00</w:t>
            </w:r>
          </w:p>
        </w:tc>
      </w:tr>
      <w:tr>
        <w:tc>
          <w:tcPr>
            <w:gridSpan w:val="3"/>
          </w:tcPr>
          <w:p>
            <w:pPr>
              <w:pStyle w:val="Compact"/>
              <w:jc w:val="left"/>
            </w:pPr>
            <w:r>
              <w:t xml:space="preserve">VAT / IVA (21%)</w:t>
            </w:r>
          </w:p>
        </w:tc>
        <w:tc>
          <w:tcPr/>
          <w:p>
            <w:pPr>
              <w:pStyle w:val="Compact"/>
              <w:jc w:val="left"/>
            </w:pPr>
            <w:r>
              <w:t xml:space="preserve">7,749.00</w:t>
            </w:r>
          </w:p>
        </w:tc>
      </w:tr>
      <w:tr>
        <w:tc>
          <w:tcPr>
            <w:gridSpan w:val="3"/>
          </w:tcPr>
          <w:p>
            <w:pPr>
              <w:pStyle w:val="Compact"/>
              <w:jc w:val="left"/>
            </w:pPr>
            <w:r>
              <w:t xml:space="preserve">TOTAL AMOUNT DUE (EUR)</w:t>
            </w:r>
          </w:p>
        </w:tc>
        <w:tc>
          <w:tcPr/>
          <w:p>
            <w:pPr>
              <w:pStyle w:val="Compact"/>
              <w:jc w:val="left"/>
            </w:pPr>
            <w:r>
              <w:t xml:space="preserve">44,649.00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structured as follows: 30% advance payment upon contract signature, 40% upon completion of the mid-project milestone (delivery of HAZOP reports and process design documentation), and the remaining 30% upon final acceptance of all deliverables by the client. All payments shall be made via bank transfer to the account of Barcelona Process Engineering S.L. as detailed in the attached invoice. Late payments shall incur interest at the rate established by the Spanish Law on Late Payment in Commercial Transactions (Ley 3/2004).</w:t>
      </w:r>
    </w:p>
    <w:bookmarkEnd w:id="24"/>
    <w:bookmarkStart w:id="25" w:name="terms-and-conditions"/>
    <w:p>
      <w:pPr>
        <w:pStyle w:val="Heading2"/>
      </w:pPr>
      <w:r>
        <w:t xml:space="preserve">5. Terms and Conditions</w:t>
      </w:r>
    </w:p>
    <w:p>
      <w:pPr>
        <w:pStyle w:val="FirstParagraph"/>
      </w:pPr>
      <w:r>
        <w:rPr>
          <w:bCs/>
          <w:b/>
        </w:rPr>
        <w:t xml:space="preserve">Validity:</w:t>
      </w:r>
      <w:r>
        <w:t xml:space="preserve"> </w:t>
      </w:r>
      <w:r>
        <w:t xml:space="preserve">This</w:t>
      </w:r>
      <w:r>
        <w:t xml:space="preserve"> </w:t>
      </w:r>
      <w:r>
        <w:t xml:space="preserve">Quotation Estimate</w:t>
      </w:r>
      <w:r>
        <w:t xml:space="preserve"> </w:t>
      </w:r>
      <w:r>
        <w:t xml:space="preserve">is valid for sixty (60) calendar days from the date of issue. After this period, rates may be revised to reflect changes in the</w:t>
      </w:r>
      <w:r>
        <w:t xml:space="preserve"> </w:t>
      </w:r>
      <w:r>
        <w:t xml:space="preserve">Chemical Engineer</w:t>
      </w:r>
      <w:r>
        <w:t xml:space="preserve"> </w:t>
      </w:r>
      <w:r>
        <w:t xml:space="preserve">labor market in</w:t>
      </w:r>
      <w:r>
        <w:t xml:space="preserve"> </w:t>
      </w:r>
      <w:r>
        <w:t xml:space="preserve">Spain Barcelona</w:t>
      </w:r>
      <w:r>
        <w:t xml:space="preserve">.</w:t>
      </w:r>
    </w:p>
    <w:p>
      <w:pPr>
        <w:pStyle w:val="BodyText"/>
      </w:pPr>
      <w:r>
        <w:rPr>
          <w:bCs/>
          <w:b/>
        </w:rPr>
        <w:t xml:space="preserve">Regulatory Compliance:</w:t>
      </w:r>
      <w:r>
        <w:t xml:space="preserve"> </w:t>
      </w:r>
      <w:r>
        <w:t xml:space="preserve">All services shall comply with the Spanish Industrial Code (Código Técnico de la Industria Química), EU REACH regulations, and the specific environmental permits required by the Conselleria de Territori i Sostenibilitat of the Generalitat de Catalunya.</w:t>
      </w:r>
    </w:p>
    <w:p>
      <w:pPr>
        <w:pStyle w:val="BodyText"/>
      </w:pPr>
      <w:r>
        <w:rPr>
          <w:bCs/>
          <w:b/>
        </w:rPr>
        <w:t xml:space="preserve">Confidentiality:</w:t>
      </w:r>
      <w:r>
        <w:t xml:space="preserve"> </w:t>
      </w:r>
      <w:r>
        <w:t xml:space="preserve">The</w:t>
      </w:r>
      <w:r>
        <w:t xml:space="preserve"> </w:t>
      </w:r>
      <w:r>
        <w:t xml:space="preserve">Chemical Engineer</w:t>
      </w:r>
      <w:r>
        <w:t xml:space="preserve"> </w:t>
      </w:r>
      <w:r>
        <w:t xml:space="preserve">and Barcelona Process Engineering S.L. shall maintain strict confidentiality over all proprietary data, process parameters, and trade secrets disclosed by the client during the engagement in</w:t>
      </w:r>
      <w:r>
        <w:t xml:space="preserve"> </w:t>
      </w:r>
      <w:r>
        <w:t xml:space="preserve">Spain Barcelona</w:t>
      </w:r>
      <w:r>
        <w:t xml:space="preserve">.</w:t>
      </w:r>
    </w:p>
    <w:p>
      <w:pPr>
        <w:pStyle w:val="BodyText"/>
      </w:pPr>
      <w:r>
        <w:rPr>
          <w:bCs/>
          <w:b/>
        </w:rPr>
        <w:t xml:space="preserve">Liability &amp; Insurance:</w:t>
      </w:r>
      <w:r>
        <w:t xml:space="preserve"> </w:t>
      </w:r>
      <w:r>
        <w:t xml:space="preserve">The</w:t>
      </w:r>
      <w:r>
        <w:t xml:space="preserve"> </w:t>
      </w:r>
      <w:r>
        <w:t xml:space="preserve">Chemical Engineer</w:t>
      </w:r>
      <w:r>
        <w:t xml:space="preserve"> </w:t>
      </w:r>
      <w:r>
        <w:t xml:space="preserve">shall carry professional indemnity insurance with a minimum coverage of 500,000 EUR, as is standard practice for engineering professionals operating in the Barcelona region.</w:t>
      </w:r>
    </w:p>
    <w:p>
      <w:pPr>
        <w:pStyle w:val="BodyTex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subsequent contract shall be resolved through the competent courts of Barcelona, Spain, in accordance with Spanish civil and commercial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Barcelona Process Engineering S.L. to proceed with the engagement of the</w:t>
      </w:r>
      <w:r>
        <w:t xml:space="preserve"> </w:t>
      </w:r>
      <w:r>
        <w:t xml:space="preserve">Chemical Engineer</w:t>
      </w:r>
      <w:r>
        <w:t xml:space="preserve"> </w:t>
      </w:r>
      <w:r>
        <w:t xml:space="preserve">for the services described herein in</w:t>
      </w:r>
      <w:r>
        <w:t xml:space="preserve"> </w:t>
      </w:r>
      <w:r>
        <w:t xml:space="preserve">Spain Barcelona</w:t>
      </w:r>
      <w:r>
        <w:t xml:space="preserve">. This signature constitutes a binding acceptance of all terms, conditions, rates, and scope of work outlined in this document.</w:t>
      </w:r>
    </w:p>
    <w:bookmarkEnd w:id="26"/>
    <w:p>
      <w:pPr>
        <w:pStyle w:val="BodyText"/>
      </w:pPr>
      <w:r>
        <w:rPr>
          <w:bCs/>
          <w:b/>
        </w:rPr>
        <w:t xml:space="preserve">For Barcelona Process Engineering S.L.</w:t>
      </w:r>
    </w:p>
    <w:p>
      <w:pPr>
        <w:pStyle w:val="BodyText"/>
      </w:pPr>
      <w:r>
        <w:t xml:space="preserve">Name: Dr. Marc Vidal Soler</w:t>
      </w:r>
      <w:r>
        <w:br/>
      </w:r>
      <w:r>
        <w:t xml:space="preserve">Title: Lead Chemical Engineer / Director</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Barcelona Process Engineering S.L. | Av. Diagonal 650, 08028 Barcelona, Spain | CIF: B-65432109</w:t>
      </w:r>
    </w:p>
    <w:p>
      <w:pPr>
        <w:pStyle w:val="BodyText"/>
      </w:pPr>
      <w:r>
        <w:t xml:space="preserve">This Quotation Estimate document is generated electronically and is valid without a physical stamp. Document Ref: QE-2025-BCN-0472</w:t>
      </w:r>
    </w:p>
    <w:p>
      <w:pPr>
        <w:pStyle w:val="BodyText"/>
      </w:pPr>
      <w:r>
        <w:t xml:space="preserve">© 2025 Barcelona Process Engineering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Spain Barcelona</dc:title>
  <dc:creator/>
  <dc:language>en</dc:language>
  <cp:keywords/>
  <dcterms:created xsi:type="dcterms:W3CDTF">2026-10-10T03:09:54Z</dcterms:created>
  <dcterms:modified xsi:type="dcterms:W3CDTF">2026-10-10T03:09:54Z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