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Ankara, Turkey — Central Anatolia Region</w:t>
      </w:r>
    </w:p>
    <w:p>
      <w:pPr>
        <w:pStyle w:val="BodyText"/>
      </w:pPr>
      <w:r>
        <w:t xml:space="preserve">Document Reference: QE-ANK-2025-0478</w:t>
      </w:r>
    </w:p>
    <w:bookmarkEnd w:id="20"/>
    <w:p>
      <w:pPr>
        <w:pStyle w:val="BodyText"/>
      </w:pPr>
      <w:r>
        <w:rPr>
          <w:bCs/>
          <w:b/>
        </w:rPr>
        <w:t xml:space="preserve">Quotation Estimate No.:</w:t>
      </w:r>
      <w:r>
        <w:t xml:space="preserve"> </w:t>
      </w:r>
      <w:r>
        <w:t xml:space="preserve">QE-ANK-2025-0478</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Turkish Lira (TRY) / USD</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Service Provider</w:t>
            </w:r>
          </w:p>
        </w:tc>
        <w:tc>
          <w:tcPr/>
          <w:p>
            <w:pPr>
              <w:pStyle w:val="Compact"/>
              <w:jc w:val="left"/>
            </w:pPr>
            <w:r>
              <w:t xml:space="preserve">Ankara Chemical Engineering Consultancy Ltd.</w:t>
            </w:r>
          </w:p>
        </w:tc>
        <w:tc>
          <w:tcPr/>
          <w:p>
            <w:pPr>
              <w:pStyle w:val="Compact"/>
              <w:jc w:val="left"/>
            </w:pPr>
            <w:r>
              <w:t xml:space="preserve">Kızılay Mah. Ataturk Bulvarı No. 142, Çankaya, 06420 Ankara, Turkey</w:t>
            </w:r>
          </w:p>
        </w:tc>
        <w:tc>
          <w:tcPr/>
          <w:p>
            <w:pPr>
              <w:pStyle w:val="Compact"/>
              <w:jc w:val="left"/>
            </w:pPr>
            <w:r>
              <w:t xml:space="preserve">info@ankara-chem-eng.com | +90 312 445 6789</w:t>
            </w:r>
          </w:p>
        </w:tc>
      </w:tr>
      <w:tr>
        <w:tc>
          <w:tcPr/>
          <w:p>
            <w:pPr>
              <w:pStyle w:val="Compact"/>
              <w:jc w:val="left"/>
            </w:pPr>
            <w:r>
              <w:rPr>
                <w:bCs/>
                <w:b/>
              </w:rPr>
              <w:t xml:space="preserve">Client</w:t>
            </w:r>
          </w:p>
        </w:tc>
        <w:tc>
          <w:tcPr/>
          <w:p>
            <w:pPr>
              <w:pStyle w:val="Compact"/>
              <w:jc w:val="left"/>
            </w:pPr>
            <w:r>
              <w:t xml:space="preserve">Industrial Process Solutions A.Ş.</w:t>
            </w:r>
          </w:p>
        </w:tc>
        <w:tc>
          <w:tcPr/>
          <w:p>
            <w:pPr>
              <w:pStyle w:val="Compact"/>
              <w:jc w:val="left"/>
            </w:pPr>
            <w:r>
              <w:t xml:space="preserve">Ostim Organized Industrial Zone, Block 7, No. 23, 06370 Ankara, Turkey</w:t>
            </w:r>
          </w:p>
        </w:tc>
        <w:tc>
          <w:tcPr/>
          <w:p>
            <w:pPr>
              <w:pStyle w:val="Compact"/>
              <w:jc w:val="left"/>
            </w:pPr>
            <w:r>
              <w:t xml:space="preserve">procurement@ips-ankara.com | +90 312 556 7890</w:t>
            </w:r>
          </w:p>
        </w:tc>
      </w:tr>
    </w:tbl>
    <w:bookmarkEnd w:id="21"/>
    <w:bookmarkStart w:id="22" w:name="X5444333e87489f0ff746cd1ed3fc7a0ad1714fc"/>
    <w:p>
      <w:pPr>
        <w:pStyle w:val="Heading2"/>
      </w:pPr>
      <w:r>
        <w:t xml:space="preserve">2. Scope of Work — Chemical Engineer Services in Turkey Ankara</w:t>
      </w:r>
    </w:p>
    <w:p>
      <w:pPr>
        <w:pStyle w:val="FirstParagraph"/>
      </w:pPr>
      <w:r>
        <w:t xml:space="preserve">This</w:t>
      </w:r>
      <w:r>
        <w:t xml:space="preserve"> </w:t>
      </w:r>
      <w:r>
        <w:t xml:space="preserve">Quotation Estimate</w:t>
      </w:r>
      <w:r>
        <w:t xml:space="preserve"> </w:t>
      </w:r>
      <w:r>
        <w:t xml:space="preserve">is issued by Ankara Chemical Engineering Consultancy Ltd. to provide comprehensive professional services rendered by a licensed</w:t>
      </w:r>
      <w:r>
        <w:t xml:space="preserve"> </w:t>
      </w:r>
      <w:r>
        <w:t xml:space="preserve">Chemical Engineer</w:t>
      </w:r>
      <w:r>
        <w:t xml:space="preserve"> </w:t>
      </w:r>
      <w:r>
        <w:t xml:space="preserve">operating within the jurisdiction of</w:t>
      </w:r>
      <w:r>
        <w:t xml:space="preserve"> </w:t>
      </w:r>
      <w:r>
        <w:t xml:space="preserve">Turkey Ankara</w:t>
      </w:r>
      <w:r>
        <w:t xml:space="preserve">. The scope encompasses process design, plant optimization, environmental compliance auditing, and technical consultancy for the client's petrochemical processing facility located in the Ostim Industrial Zone, Ankara, Turkey.</w:t>
      </w:r>
    </w:p>
    <w:p>
      <w:pPr>
        <w:pStyle w:val="BodyText"/>
      </w:pPr>
      <w:r>
        <w:t xml:space="preserve">The</w:t>
      </w:r>
      <w:r>
        <w:t xml:space="preserve"> </w:t>
      </w:r>
      <w:r>
        <w:t xml:space="preserve">Chemical Engineer</w:t>
      </w:r>
      <w:r>
        <w:t xml:space="preserve"> </w:t>
      </w:r>
      <w:r>
        <w:t xml:space="preserve">assigned to this project holds a valid professional license issued by the Turkish Chamber of Chemical Engineers (TMMOB Kimya Mühendisleri Odası) and possesses over twelve (12) years of experience in process engineering, reactor design, heat and mass transfer analysis, and regulatory compliance within the Republic of Turkey. All services will be delivered in accordance with the Turkish Industrial Code (Sanayi Kanunu No. 4941) and applicable European Union directives adopted by Turkey Ankara's industrial regulatory framework.</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Chemical Engineer Service</w:t>
            </w:r>
          </w:p>
        </w:tc>
        <w:tc>
          <w:tcPr/>
          <w:p>
            <w:pPr>
              <w:pStyle w:val="Compact"/>
              <w:jc w:val="left"/>
            </w:pPr>
            <w:r>
              <w:t xml:space="preserve">Duration / Qty</w:t>
            </w:r>
          </w:p>
        </w:tc>
        <w:tc>
          <w:tcPr/>
          <w:p>
            <w:pPr>
              <w:pStyle w:val="Compact"/>
              <w:jc w:val="left"/>
            </w:pPr>
            <w:r>
              <w:t xml:space="preserve">Unit Rate (TRY)</w:t>
            </w:r>
          </w:p>
        </w:tc>
        <w:tc>
          <w:tcPr/>
          <w:p>
            <w:pPr>
              <w:pStyle w:val="Compact"/>
              <w:jc w:val="left"/>
            </w:pPr>
            <w:r>
              <w:t xml:space="preserve">Subtotal (TRY)</w:t>
            </w:r>
          </w:p>
        </w:tc>
      </w:tr>
      <w:tr>
        <w:tc>
          <w:tcPr/>
          <w:p>
            <w:pPr>
              <w:pStyle w:val="Compact"/>
              <w:jc w:val="left"/>
            </w:pPr>
            <w:r>
              <w:t xml:space="preserve">01</w:t>
            </w:r>
          </w:p>
        </w:tc>
        <w:tc>
          <w:tcPr/>
          <w:p>
            <w:pPr>
              <w:pStyle w:val="Compact"/>
              <w:jc w:val="left"/>
            </w:pPr>
            <w:r>
              <w:t xml:space="preserve">Initial site assessment and process audit of existing chemical processing units in Ankara, Turkey</w:t>
            </w:r>
          </w:p>
        </w:tc>
        <w:tc>
          <w:tcPr/>
          <w:p>
            <w:pPr>
              <w:pStyle w:val="Compact"/>
              <w:jc w:val="left"/>
            </w:pPr>
            <w:r>
              <w:t xml:space="preserve">3 working days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02</w:t>
            </w:r>
          </w:p>
        </w:tc>
        <w:tc>
          <w:tcPr/>
          <w:p>
            <w:pPr>
              <w:pStyle w:val="Compact"/>
              <w:jc w:val="left"/>
            </w:pPr>
            <w:r>
              <w:t xml:space="preserve">Process flow diagram (PFD) and piping and instrumentation diagram (P&amp;ID) redesign for the distillation column system</w:t>
            </w:r>
          </w:p>
        </w:tc>
        <w:tc>
          <w:tcPr/>
          <w:p>
            <w:pPr>
              <w:pStyle w:val="Compact"/>
              <w:jc w:val="left"/>
            </w:pPr>
            <w:r>
              <w:t xml:space="preserve">15 working days</w:t>
            </w:r>
          </w:p>
        </w:tc>
        <w:tc>
          <w:tcPr/>
          <w:p>
            <w:pPr>
              <w:pStyle w:val="Compact"/>
              <w:jc w:val="left"/>
            </w:pPr>
            <w:r>
              <w:t xml:space="preserve">22,000</w:t>
            </w:r>
          </w:p>
        </w:tc>
        <w:tc>
          <w:tcPr/>
          <w:p>
            <w:pPr>
              <w:pStyle w:val="Compact"/>
              <w:jc w:val="left"/>
            </w:pPr>
            <w:r>
              <w:t xml:space="preserve">330,000</w:t>
            </w:r>
          </w:p>
        </w:tc>
      </w:tr>
      <w:tr>
        <w:tc>
          <w:tcPr/>
          <w:p>
            <w:pPr>
              <w:pStyle w:val="Compact"/>
              <w:jc w:val="left"/>
            </w:pPr>
            <w:r>
              <w:t xml:space="preserve">03</w:t>
            </w:r>
          </w:p>
        </w:tc>
        <w:tc>
          <w:tcPr/>
          <w:p>
            <w:pPr>
              <w:pStyle w:val="Compact"/>
              <w:jc w:val="left"/>
            </w:pPr>
            <w:r>
              <w:t xml:space="preserve">Thermal and hydraulic simulation using Aspen Plus / HYSYS software for reactor optimization</w:t>
            </w:r>
          </w:p>
        </w:tc>
        <w:tc>
          <w:tcPr/>
          <w:p>
            <w:pPr>
              <w:pStyle w:val="Compact"/>
              <w:jc w:val="left"/>
            </w:pPr>
            <w:r>
              <w:t xml:space="preserve">10 working days</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Environmental impact assessment and waste treatment compliance report per Turkey Ankara municipal regulations</w:t>
            </w:r>
          </w:p>
        </w:tc>
        <w:tc>
          <w:tcPr/>
          <w:p>
            <w:pPr>
              <w:pStyle w:val="Compact"/>
              <w:jc w:val="left"/>
            </w:pPr>
            <w:r>
              <w:t xml:space="preserve">5 working days</w:t>
            </w:r>
          </w:p>
        </w:tc>
        <w:tc>
          <w:tcPr/>
          <w:p>
            <w:pPr>
              <w:pStyle w:val="Compact"/>
              <w:jc w:val="left"/>
            </w:pPr>
            <w:r>
              <w:t xml:space="preserve">20,000</w:t>
            </w:r>
          </w:p>
        </w:tc>
        <w:tc>
          <w:tcPr/>
          <w:p>
            <w:pPr>
              <w:pStyle w:val="Compact"/>
              <w:jc w:val="left"/>
            </w:pPr>
            <w:r>
              <w:t xml:space="preserve">100,000</w:t>
            </w:r>
          </w:p>
        </w:tc>
      </w:tr>
      <w:tr>
        <w:tc>
          <w:tcPr/>
          <w:p>
            <w:pPr>
              <w:pStyle w:val="Compact"/>
              <w:jc w:val="left"/>
            </w:pPr>
            <w:r>
              <w:t xml:space="preserve">05</w:t>
            </w:r>
          </w:p>
        </w:tc>
        <w:tc>
          <w:tcPr/>
          <w:p>
            <w:pPr>
              <w:pStyle w:val="Compact"/>
              <w:jc w:val="left"/>
            </w:pPr>
            <w:r>
              <w:t xml:space="preserve">Technical supervision during equipment commissioning and startup phase at the Ankara facility</w:t>
            </w:r>
          </w:p>
        </w:tc>
        <w:tc>
          <w:tcPr/>
          <w:p>
            <w:pPr>
              <w:pStyle w:val="Compact"/>
              <w:jc w:val="left"/>
            </w:pPr>
            <w:r>
              <w:t xml:space="preserve">8 working days</w:t>
            </w:r>
          </w:p>
        </w:tc>
        <w:tc>
          <w:tcPr/>
          <w:p>
            <w:pPr>
              <w:pStyle w:val="Compact"/>
              <w:jc w:val="left"/>
            </w:pPr>
            <w:r>
              <w:t xml:space="preserve">24,000</w:t>
            </w:r>
          </w:p>
        </w:tc>
        <w:tc>
          <w:tcPr/>
          <w:p>
            <w:pPr>
              <w:pStyle w:val="Compact"/>
              <w:jc w:val="left"/>
            </w:pPr>
            <w:r>
              <w:t xml:space="preserve">192,000</w:t>
            </w:r>
          </w:p>
        </w:tc>
      </w:tr>
      <w:tr>
        <w:tc>
          <w:tcPr/>
          <w:p>
            <w:pPr>
              <w:pStyle w:val="Compact"/>
              <w:jc w:val="left"/>
            </w:pPr>
            <w:r>
              <w:t xml:space="preserve">06</w:t>
            </w:r>
          </w:p>
        </w:tc>
        <w:tc>
          <w:tcPr/>
          <w:p>
            <w:pPr>
              <w:pStyle w:val="Compact"/>
              <w:jc w:val="left"/>
            </w:pPr>
            <w:r>
              <w:t xml:space="preserve">Preparation of final engineering report, as-built documentation, and regulatory submission package for the Ankara Provincial Directorate of Industry</w:t>
            </w:r>
          </w:p>
        </w:tc>
        <w:tc>
          <w:tcPr/>
          <w:p>
            <w:pPr>
              <w:pStyle w:val="Compact"/>
              <w:jc w:val="left"/>
            </w:pPr>
            <w:r>
              <w:t xml:space="preserve">7 working days</w:t>
            </w:r>
          </w:p>
        </w:tc>
        <w:tc>
          <w:tcPr/>
          <w:p>
            <w:pPr>
              <w:pStyle w:val="Compact"/>
              <w:jc w:val="left"/>
            </w:pPr>
            <w:r>
              <w:t xml:space="preserve">19,500</w:t>
            </w:r>
          </w:p>
        </w:tc>
        <w:tc>
          <w:tcPr/>
          <w:p>
            <w:pPr>
              <w:pStyle w:val="Compact"/>
              <w:jc w:val="left"/>
            </w:pPr>
            <w:r>
              <w:t xml:space="preserve">136,500</w:t>
            </w:r>
          </w:p>
        </w:tc>
      </w:tr>
      <w:tr>
        <w:tc>
          <w:tcPr/>
          <w:p>
            <w:pPr>
              <w:pStyle w:val="Compact"/>
              <w:jc w:val="left"/>
            </w:pPr>
            <w:r>
              <w:t xml:space="preserve">07</w:t>
            </w:r>
          </w:p>
        </w:tc>
        <w:tc>
          <w:tcPr/>
          <w:p>
            <w:pPr>
              <w:pStyle w:val="Compact"/>
              <w:jc w:val="left"/>
            </w:pPr>
            <w:r>
              <w:t xml:space="preserve">Post-commissioning performance guarantee period and remote technical support by the Chemical Engineer</w:t>
            </w:r>
          </w:p>
        </w:tc>
        <w:tc>
          <w:tcPr/>
          <w:p>
            <w:pPr>
              <w:pStyle w:val="Compact"/>
              <w:jc w:val="left"/>
            </w:pPr>
            <w:r>
              <w:t xml:space="preserve">90 days</w:t>
            </w:r>
          </w:p>
        </w:tc>
        <w:tc>
          <w:tcPr/>
          <w:p>
            <w:pPr>
              <w:pStyle w:val="Compact"/>
              <w:jc w:val="left"/>
            </w:pPr>
            <w:r>
              <w:t xml:space="preserve">8,000</w:t>
            </w:r>
          </w:p>
        </w:tc>
        <w:tc>
          <w:tcPr/>
          <w:p>
            <w:pPr>
              <w:pStyle w:val="Compact"/>
              <w:jc w:val="left"/>
            </w:pPr>
            <w:r>
              <w:t xml:space="preserve">72,000</w:t>
            </w:r>
          </w:p>
        </w:tc>
      </w:tr>
      <w:tr>
        <w:tc>
          <w:tcPr>
            <w:gridSpan w:val="4"/>
          </w:tcPr>
          <w:p>
            <w:pPr>
              <w:pStyle w:val="Compact"/>
              <w:jc w:val="right"/>
            </w:pPr>
            <w:r>
              <w:t xml:space="preserve">TOTAL ESTIMATED COST (Before VAT)</w:t>
            </w:r>
          </w:p>
        </w:tc>
        <w:tc>
          <w:tcPr/>
          <w:p>
            <w:pPr>
              <w:pStyle w:val="Compact"/>
              <w:jc w:val="left"/>
            </w:pPr>
            <w:r>
              <w:t xml:space="preserve">1,136,000</w:t>
            </w:r>
          </w:p>
        </w:tc>
      </w:tr>
      <w:tr>
        <w:tc>
          <w:tcPr>
            <w:gridSpan w:val="4"/>
          </w:tcPr>
          <w:p>
            <w:pPr>
              <w:pStyle w:val="Compact"/>
              <w:jc w:val="right"/>
            </w:pPr>
            <w:r>
              <w:t xml:space="preserve">VAT (KDV) — 20% (Turkey Standard Rate)</w:t>
            </w:r>
          </w:p>
        </w:tc>
        <w:tc>
          <w:tcPr/>
          <w:p>
            <w:pPr>
              <w:pStyle w:val="Compact"/>
              <w:jc w:val="left"/>
            </w:pPr>
            <w:r>
              <w:t xml:space="preserve">227,200</w:t>
            </w:r>
          </w:p>
        </w:tc>
      </w:tr>
      <w:tr>
        <w:tc>
          <w:tcPr>
            <w:gridSpan w:val="4"/>
          </w:tcPr>
          <w:p>
            <w:pPr>
              <w:pStyle w:val="Compact"/>
              <w:jc w:val="right"/>
            </w:pPr>
            <w:r>
              <w:t xml:space="preserve">GRAND TOTAL (Incl. VAT)</w:t>
            </w:r>
          </w:p>
        </w:tc>
        <w:tc>
          <w:tcPr/>
          <w:p>
            <w:pPr>
              <w:pStyle w:val="Compact"/>
              <w:jc w:val="left"/>
            </w:pPr>
            <w:r>
              <w:t xml:space="preserve">1,363,200</w:t>
            </w:r>
          </w:p>
        </w:tc>
      </w:tr>
    </w:tbl>
    <w:p>
      <w:pPr>
        <w:pStyle w:val="BodyText"/>
      </w:pPr>
      <w:r>
        <w:rPr>
          <w:iCs/>
          <w:i/>
        </w:rPr>
        <w:t xml:space="preserve">Equivalent in USD (at reference rate of 1 USD = 34.50 TRY): approximately USD 39,513.04</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(TRY)</w:t>
            </w:r>
          </w:p>
        </w:tc>
        <w:tc>
          <w:tcPr/>
          <w:p>
            <w:pPr>
              <w:pStyle w:val="Compact"/>
              <w:jc w:val="left"/>
            </w:pPr>
            <w:r>
              <w:t xml:space="preserve">Due Date</w:t>
            </w:r>
          </w:p>
        </w:tc>
      </w:tr>
      <w:tr>
        <w:tc>
          <w:tcPr/>
          <w:p>
            <w:pPr>
              <w:pStyle w:val="Compact"/>
              <w:jc w:val="left"/>
            </w:pPr>
            <w:r>
              <w:t xml:space="preserve">Upon acceptance of this Quotation Estimate and contract signing</w:t>
            </w:r>
          </w:p>
        </w:tc>
        <w:tc>
          <w:tcPr/>
          <w:p>
            <w:pPr>
              <w:pStyle w:val="Compact"/>
              <w:jc w:val="left"/>
            </w:pPr>
            <w:r>
              <w:t xml:space="preserve">30%</w:t>
            </w:r>
          </w:p>
        </w:tc>
        <w:tc>
          <w:tcPr/>
          <w:p>
            <w:pPr>
              <w:pStyle w:val="Compact"/>
              <w:jc w:val="left"/>
            </w:pPr>
            <w:r>
              <w:t xml:space="preserve">408,960</w:t>
            </w:r>
          </w:p>
        </w:tc>
        <w:tc>
          <w:tcPr/>
          <w:p>
            <w:pPr>
              <w:pStyle w:val="Compact"/>
              <w:jc w:val="left"/>
            </w:pPr>
            <w:r>
              <w:t xml:space="preserve">Within 7 calendar days of acceptance</w:t>
            </w:r>
          </w:p>
        </w:tc>
      </w:tr>
      <w:tr>
        <w:tc>
          <w:tcPr/>
          <w:p>
            <w:pPr>
              <w:pStyle w:val="Compact"/>
              <w:jc w:val="left"/>
            </w:pPr>
            <w:r>
              <w:t xml:space="preserve">Upon completion of PFD/P&amp;ID redesign (Item 02)</w:t>
            </w:r>
          </w:p>
        </w:tc>
        <w:tc>
          <w:tcPr/>
          <w:p>
            <w:pPr>
              <w:pStyle w:val="Compact"/>
              <w:jc w:val="left"/>
            </w:pPr>
            <w:r>
              <w:t xml:space="preserve">30%</w:t>
            </w:r>
          </w:p>
        </w:tc>
        <w:tc>
          <w:tcPr/>
          <w:p>
            <w:pPr>
              <w:pStyle w:val="Compact"/>
              <w:jc w:val="left"/>
            </w:pPr>
            <w:r>
              <w:t xml:space="preserve">408,960</w:t>
            </w:r>
          </w:p>
        </w:tc>
        <w:tc>
          <w:tcPr/>
          <w:p>
            <w:pPr>
              <w:pStyle w:val="Compact"/>
              <w:jc w:val="left"/>
            </w:pPr>
            <w:r>
              <w:t xml:space="preserve">Within 14 calendar days of milestone delivery</w:t>
            </w:r>
          </w:p>
        </w:tc>
      </w:tr>
      <w:tr>
        <w:tc>
          <w:tcPr/>
          <w:p>
            <w:pPr>
              <w:pStyle w:val="Compact"/>
              <w:jc w:val="left"/>
            </w:pPr>
            <w:r>
              <w:t xml:space="preserve">Upon completion of commissioning supervision (Item 05)</w:t>
            </w:r>
          </w:p>
        </w:tc>
        <w:tc>
          <w:tcPr/>
          <w:p>
            <w:pPr>
              <w:pStyle w:val="Compact"/>
              <w:jc w:val="left"/>
            </w:pPr>
            <w:r>
              <w:t xml:space="preserve">25%</w:t>
            </w:r>
          </w:p>
        </w:tc>
        <w:tc>
          <w:tcPr/>
          <w:p>
            <w:pPr>
              <w:pStyle w:val="Compact"/>
              <w:jc w:val="left"/>
            </w:pPr>
            <w:r>
              <w:t xml:space="preserve">340,800</w:t>
            </w:r>
          </w:p>
        </w:tc>
        <w:tc>
          <w:tcPr/>
          <w:p>
            <w:pPr>
              <w:pStyle w:val="Compact"/>
              <w:jc w:val="left"/>
            </w:pPr>
            <w:r>
              <w:t xml:space="preserve">Within 14 calendar days of milestone delivery</w:t>
            </w:r>
          </w:p>
        </w:tc>
      </w:tr>
      <w:tr>
        <w:tc>
          <w:tcPr/>
          <w:p>
            <w:pPr>
              <w:pStyle w:val="Compact"/>
              <w:jc w:val="left"/>
            </w:pPr>
            <w:r>
              <w:t xml:space="preserve">Upon final report handover and regulatory approval (Item 06)</w:t>
            </w:r>
          </w:p>
        </w:tc>
        <w:tc>
          <w:tcPr/>
          <w:p>
            <w:pPr>
              <w:pStyle w:val="Compact"/>
              <w:jc w:val="left"/>
            </w:pPr>
            <w:r>
              <w:t xml:space="preserve">15%</w:t>
            </w:r>
          </w:p>
        </w:tc>
        <w:tc>
          <w:tcPr/>
          <w:p>
            <w:pPr>
              <w:pStyle w:val="Compact"/>
              <w:jc w:val="left"/>
            </w:pPr>
            <w:r>
              <w:t xml:space="preserve">204,480</w:t>
            </w:r>
          </w:p>
        </w:tc>
        <w:tc>
          <w:tcPr/>
          <w:p>
            <w:pPr>
              <w:pStyle w:val="Compact"/>
              <w:jc w:val="left"/>
            </w:pPr>
            <w:r>
              <w:t xml:space="preserve">Within 21 calendar days of final delivery</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validity period shall be subject to re-evaluation of rates by the</w:t>
      </w:r>
      <w:r>
        <w:t xml:space="preserve"> </w:t>
      </w:r>
      <w:r>
        <w:t xml:space="preserve">Chemical Engineer</w:t>
      </w:r>
      <w:r>
        <w:t xml:space="preserve"> </w:t>
      </w:r>
      <w:r>
        <w:t xml:space="preserve">and the consultancy firm.</w:t>
      </w:r>
    </w:p>
    <w:p>
      <w:pPr>
        <w:numPr>
          <w:ilvl w:val="0"/>
          <w:numId w:val="1001"/>
        </w:numPr>
        <w:pStyle w:val="Compact"/>
      </w:pPr>
      <w:r>
        <w:t xml:space="preserve">All services described herein shall be performed by a qualified and licensed</w:t>
      </w:r>
      <w:r>
        <w:t xml:space="preserve"> </w:t>
      </w:r>
      <w:r>
        <w:t xml:space="preserve">Chemical Engineer</w:t>
      </w:r>
      <w:r>
        <w:t xml:space="preserve"> </w:t>
      </w:r>
      <w:r>
        <w:t xml:space="preserve">registered with the Turkish Chamber of Chemical Engineers. The engineer's professional liability insurance (minimum coverage of TRY 5,000,000) shall be maintained throughout the project duration.</w:t>
      </w:r>
    </w:p>
    <w:p>
      <w:pPr>
        <w:numPr>
          <w:ilvl w:val="0"/>
          <w:numId w:val="1001"/>
        </w:numPr>
        <w:pStyle w:val="Compact"/>
      </w:pPr>
      <w:r>
        <w:t xml:space="preserve">Work shall be conducted at the client's premises in</w:t>
      </w:r>
      <w:r>
        <w:t xml:space="preserve"> </w:t>
      </w:r>
      <w:r>
        <w:t xml:space="preserve">Turkey Ankara</w:t>
      </w:r>
      <w:r>
        <w:t xml:space="preserve"> </w:t>
      </w:r>
      <w:r>
        <w:t xml:space="preserve">(Ostim Organized Industrial Zone) during standard business hours (08:00–17:00, Monday to Friday). Overtime or weekend work, if required, shall be billed at 1.5x the standard daily rate.</w:t>
      </w:r>
    </w:p>
    <w:p>
      <w:pPr>
        <w:numPr>
          <w:ilvl w:val="0"/>
          <w:numId w:val="1001"/>
        </w:numPr>
        <w:pStyle w:val="Compact"/>
      </w:pPr>
      <w:r>
        <w:t xml:space="preserve">The client shall provide safe access to all plant areas, existing technical documentation, process data, and any permits necessary for the</w:t>
      </w:r>
      <w:r>
        <w:t xml:space="preserve"> </w:t>
      </w:r>
      <w:r>
        <w:t xml:space="preserve">Chemical Engineer</w:t>
      </w:r>
      <w:r>
        <w:t xml:space="preserve"> </w:t>
      </w:r>
      <w:r>
        <w:t xml:space="preserve">to perform the scope of work in Turkey Ankara.</w:t>
      </w:r>
    </w:p>
    <w:p>
      <w:pPr>
        <w:numPr>
          <w:ilvl w:val="0"/>
          <w:numId w:val="1001"/>
        </w:numPr>
        <w:pStyle w:val="Compact"/>
      </w:pPr>
      <w:r>
        <w:t xml:space="preserve">Any changes to the scope of work beyond 10% of the original estimate shall require a written change order signed by both parties. The</w:t>
      </w:r>
      <w:r>
        <w:t xml:space="preserve"> </w:t>
      </w:r>
      <w:r>
        <w:t xml:space="preserve">Quotation Estimate</w:t>
      </w:r>
      <w:r>
        <w:t xml:space="preserve"> </w:t>
      </w:r>
      <w:r>
        <w:t xml:space="preserve">amounts shall be adjusted proportionally.</w:t>
      </w:r>
    </w:p>
    <w:p>
      <w:pPr>
        <w:numPr>
          <w:ilvl w:val="0"/>
          <w:numId w:val="1001"/>
        </w:numPr>
        <w:pStyle w:val="Compact"/>
      </w:pPr>
      <w:r>
        <w:t xml:space="preserve">Intellectual property rights in all deliverables (reports, diagrams, simulation files) shall transfer to the client upon full payment. The</w:t>
      </w:r>
      <w:r>
        <w:t xml:space="preserve"> </w:t>
      </w:r>
      <w:r>
        <w:t xml:space="preserve">Chemical Engineer</w:t>
      </w:r>
      <w:r>
        <w:t xml:space="preserve"> </w:t>
      </w:r>
      <w:r>
        <w:t xml:space="preserve">retains the right to reference the project in professional portfolios with client's written consent.</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under the jurisdiction of the Ankara Commercial Courts in Turkey Ankara, in accordance with the Turkish Code of Obligations (Türk Borçlar Kanunu No. 6098).</w:t>
      </w:r>
    </w:p>
    <w:p>
      <w:pPr>
        <w:numPr>
          <w:ilvl w:val="0"/>
          <w:numId w:val="1001"/>
        </w:numPr>
        <w:pStyle w:val="Compact"/>
      </w:pPr>
      <w:r>
        <w:t xml:space="preserve">This Quotation Estimate does not constitute a binding contract until countersigned by both parties and the initial payment milestone is received.</w:t>
      </w:r>
    </w:p>
    <w:bookmarkEnd w:id="25"/>
    <w:bookmarkStart w:id="26" w:name="assumptions-and-exclusions"/>
    <w:p>
      <w:pPr>
        <w:pStyle w:val="Heading2"/>
      </w:pPr>
      <w:r>
        <w:t xml:space="preserve">6. Assumptions and Exclusions</w:t>
      </w:r>
    </w:p>
    <w:p>
      <w:pPr>
        <w:pStyle w:val="FirstParagraph"/>
      </w:pPr>
      <w:r>
        <w:t xml:space="preserve">This Quotation Estimate assumes that the existing plant infrastructure in Turkey Ankara is in a condition suitable for the described modifications. It does not include the cost of procurement of new equipment, raw materials, or third-party laboratory testing. Travel and accommodation costs for the Chemical Engineer, if the project site is located more than 50 km from central Ankara, shall be billed at actual cost with a 10% administrative surcharge. Force majeure events as defined under Turkish law shall suspend obligations without penalty.</w:t>
      </w:r>
    </w:p>
    <w:bookmarkEnd w:id="26"/>
    <w:bookmarkStart w:id="27" w:name="acceptance-and-authorization"/>
    <w:p>
      <w:pPr>
        <w:pStyle w:val="Heading2"/>
      </w:pPr>
      <w:r>
        <w:t xml:space="preserve">7. Acceptance and Authorization</w:t>
      </w:r>
    </w:p>
    <w:p>
      <w:pPr>
        <w:pStyle w:val="FirstParagraph"/>
      </w:pPr>
      <w:r>
        <w:rPr>
          <w:bCs/>
          <w:b/>
        </w:rPr>
        <w:t xml:space="preserve">For Ankara Chemical Engineering Consultancy Ltd.</w:t>
      </w:r>
    </w:p>
    <w:p>
      <w:pPr>
        <w:pStyle w:val="BodyText"/>
      </w:pPr>
      <w:r>
        <w:t xml:space="preserve">Authorized Signatory / Lead Chemical Engineer</w:t>
      </w:r>
    </w:p>
    <w:p>
      <w:pPr>
        <w:pStyle w:val="BodyText"/>
      </w:pPr>
      <w:r>
        <w:t xml:space="preserve">Name, Title, Signature &amp; Date</w:t>
      </w:r>
    </w:p>
    <w:p>
      <w:pPr>
        <w:pStyle w:val="BodyText"/>
      </w:pPr>
      <w:r>
        <w:rPr>
          <w:bCs/>
          <w:b/>
        </w:rPr>
        <w:t xml:space="preserve">For Industrial Process Solutions A.Ş.</w:t>
      </w:r>
    </w:p>
    <w:p>
      <w:pPr>
        <w:pStyle w:val="BodyText"/>
      </w:pPr>
      <w:r>
        <w:t xml:space="preserve">Authorized Representative</w:t>
      </w:r>
    </w:p>
    <w:p>
      <w:pPr>
        <w:pStyle w:val="BodyText"/>
      </w:pPr>
      <w:r>
        <w:t xml:space="preserve">Name, Title, Signature &amp; Date</w:t>
      </w:r>
    </w:p>
    <w:p>
      <w:pPr>
        <w:pStyle w:val="BodyText"/>
      </w:pPr>
      <w:r>
        <w:rPr>
          <w:bCs/>
          <w:b/>
        </w:rPr>
        <w:t xml:space="preserve">Important Notice:</w:t>
      </w:r>
      <w:r>
        <w:t xml:space="preserve"> </w:t>
      </w:r>
      <w:r>
        <w:t xml:space="preserve">This Quotation Estimate document (Ref: QE-ANK-2025-0478) is prepared exclusively for the client named herein and is not transferable. All rates are quoted in Turkish Lira (TRY) and are subject to the prevailing VAT rate in Turkey Ankara at the time of invoicing. The Chemical Engineer services described are governed by the professional standards of TMMOB and applicable Turkish industrial safety regulations. For any clarification regarding this Quotation Estimate, please contact the undersigned within the validity period.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Turkey Ankara</dc:title>
  <dc:creator/>
  <dc:language>en</dc:language>
  <cp:keywords/>
  <dcterms:created xsi:type="dcterms:W3CDTF">2026-10-10T02:31:09Z</dcterms:created>
  <dcterms:modified xsi:type="dcterms:W3CDTF">2026-10-10T02:31:09Z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