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meridian-process-engineering-ltd."/>
    <w:p>
      <w:pPr>
        <w:pStyle w:val="Heading1"/>
      </w:pPr>
      <w:r>
        <w:t xml:space="preserve">Meridian Process Engineering Ltd.</w:t>
      </w:r>
    </w:p>
    <w:p>
      <w:pPr>
        <w:pStyle w:val="FirstParagraph"/>
      </w:pPr>
      <w:r>
        <w:t xml:space="preserve">Atatürk Bulvarı No. 245, 34360 Şişli / Istanbul, Turkey</w:t>
      </w:r>
    </w:p>
    <w:p>
      <w:pPr>
        <w:pStyle w:val="BodyText"/>
      </w:pPr>
      <w:r>
        <w:t xml:space="preserve">Tel: +90 212 555 0147 | Email: quotations@meridianprocess.com.tr</w:t>
      </w:r>
    </w:p>
    <w:p>
      <w:pPr>
        <w:pStyle w:val="BodyText"/>
      </w:pPr>
      <w:r>
        <w:t xml:space="preserve">Tax ID (VKN): 1234567890 | Trade Registry: Istanbul TSO No. 45210</w:t>
      </w:r>
    </w:p>
    <w:bookmarkEnd w:id="20"/>
    <w:p>
      <w:pPr>
        <w:pStyle w:val="BodyText"/>
      </w:pPr>
      <w:r>
        <w:t xml:space="preserve">Document Ref: QTE-2025-IST-0087</w:t>
      </w:r>
    </w:p>
    <w:p>
      <w:pPr>
        <w:pStyle w:val="BodyText"/>
      </w:pPr>
      <w:r>
        <w:t xml:space="preserve">Currency: Turkish Lira (TRY)</w:t>
      </w:r>
    </w:p>
    <w:bookmarkStart w:id="21" w:name="quotation-estimate"/>
    <w:p>
      <w:pPr>
        <w:pStyle w:val="Heading2"/>
      </w:pPr>
      <w:r>
        <w:t xml:space="preserve">QUOTATION ESTIMATE</w:t>
      </w:r>
    </w:p>
    <w:p>
      <w:pPr>
        <w:pStyle w:val="FirstParagraph"/>
      </w:pPr>
      <w:r>
        <w:t xml:space="preserve">Professional Chemical Engineer Consulting &amp; Process Design Services</w:t>
      </w:r>
    </w:p>
    <w:p>
      <w:pPr>
        <w:pStyle w:val="BodyText"/>
      </w:pPr>
      <w:r>
        <w:t xml:space="preserve">Prepared for Projects Located in Turkey Istanbul Metropolitan Region</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QTE-2025-IST-0087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Client / Recipient</w:t>
            </w:r>
          </w:p>
        </w:tc>
        <w:tc>
          <w:tcPr/>
          <w:p>
            <w:pPr>
              <w:pStyle w:val="Compact"/>
              <w:jc w:val="left"/>
            </w:pPr>
            <w:r>
              <w:t xml:space="preserve">Bosphorus Petrochemical Industries A.Ş., Gebze Organized Industrial Zone, Kocaeli (serving Turkey Istanbul corridor)</w:t>
            </w:r>
          </w:p>
        </w:tc>
      </w:tr>
      <w:tr>
        <w:tc>
          <w:tcPr/>
          <w:p>
            <w:pPr>
              <w:pStyle w:val="Compact"/>
              <w:jc w:val="left"/>
            </w:pPr>
            <w:r>
              <w:t xml:space="preserve">Project Location</w:t>
            </w:r>
          </w:p>
        </w:tc>
        <w:tc>
          <w:tcPr/>
          <w:p>
            <w:pPr>
              <w:pStyle w:val="Compact"/>
              <w:jc w:val="left"/>
            </w:pPr>
            <w:r>
              <w:t xml:space="preserve">Turkey Istanbul – Tuzla Industrial District, 34940</w:t>
            </w:r>
          </w:p>
        </w:tc>
      </w:tr>
      <w:tr>
        <w:tc>
          <w:tcPr/>
          <w:p>
            <w:pPr>
              <w:pStyle w:val="Compact"/>
              <w:jc w:val="left"/>
            </w:pPr>
            <w:r>
              <w:t xml:space="preserve">Prepared By</w:t>
            </w:r>
          </w:p>
        </w:tc>
        <w:tc>
          <w:tcPr/>
          <w:p>
            <w:pPr>
              <w:pStyle w:val="Compact"/>
              <w:jc w:val="left"/>
            </w:pPr>
            <w:r>
              <w:t xml:space="preserve">Dr. Elif Kaya, Lead Chemical Engineer, MSc. Chemical Engineering (Istanbul Technical University)</w:t>
            </w:r>
          </w:p>
        </w:tc>
      </w:tr>
    </w:tbl>
    <w:bookmarkStart w:id="22" w:name="X448265b06e204bd82096eaf650ab692f2e4ece1"/>
    <w:p>
      <w:pPr>
        <w:pStyle w:val="Heading3"/>
      </w:pPr>
      <w:r>
        <w:t xml:space="preserve">1. Scope of Work – Chemical Engineer Services in Turkey Istanbul</w:t>
      </w:r>
    </w:p>
    <w:p>
      <w:pPr>
        <w:pStyle w:val="FirstParagraph"/>
      </w:pPr>
      <w:r>
        <w:t xml:space="preserve">This</w:t>
      </w:r>
      <w:r>
        <w:t xml:space="preserve"> </w:t>
      </w:r>
      <w:r>
        <w:t xml:space="preserve">Quotation Estimate</w:t>
      </w:r>
      <w:r>
        <w:t xml:space="preserve"> </w:t>
      </w:r>
      <w:r>
        <w:t xml:space="preserve">is issued by Meridian Process Engineering Ltd. to provide comprehensive</w:t>
      </w:r>
      <w:r>
        <w:t xml:space="preserve"> </w:t>
      </w:r>
      <w:r>
        <w:t xml:space="preserve">Chemical Engineer</w:t>
      </w:r>
      <w:r>
        <w:t xml:space="preserve"> </w:t>
      </w:r>
      <w:r>
        <w:t xml:space="preserve">consulting, process design, and operational advisory services for the client's new polymer production facility situated in the Tuzla Industrial District of</w:t>
      </w:r>
      <w:r>
        <w:t xml:space="preserve"> </w:t>
      </w:r>
      <w:r>
        <w:t xml:space="preserve">Turkey Istanbul</w:t>
      </w:r>
      <w:r>
        <w:t xml:space="preserve">. The scope encompasses all engineering disciplines related to chemical process development, reactor sizing, heat and mass transfer analysis, safety compliance, and environmental impact assessment as mandated by the Republic of Turkey's Ministry of Environment, Urbanization and Climate Change regulations applicable to the Istanbul metropolitan area.</w:t>
      </w:r>
    </w:p>
    <w:bookmarkEnd w:id="22"/>
    <w:bookmarkStart w:id="23" w:name="itemized-services-and-cost-breakdown"/>
    <w:p>
      <w:pPr>
        <w:pStyle w:val="Heading3"/>
      </w:pPr>
      <w:r>
        <w:t xml:space="preserve">2. Itemized Services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Chemical Engineer Service</w:t>
            </w:r>
          </w:p>
        </w:tc>
        <w:tc>
          <w:tcPr/>
          <w:p>
            <w:pPr>
              <w:pStyle w:val="Compact"/>
              <w:jc w:val="left"/>
            </w:pPr>
            <w:r>
              <w:t xml:space="preserve">Duration</w:t>
            </w:r>
          </w:p>
        </w:tc>
        <w:tc>
          <w:tcPr/>
          <w:p>
            <w:pPr>
              <w:pStyle w:val="Compact"/>
              <w:jc w:val="left"/>
            </w:pPr>
            <w:r>
              <w:t xml:space="preserve">Unit Rate (TRY)</w:t>
            </w:r>
          </w:p>
        </w:tc>
        <w:tc>
          <w:tcPr/>
          <w:p>
            <w:pPr>
              <w:pStyle w:val="Compact"/>
              <w:jc w:val="left"/>
            </w:pPr>
            <w:r>
              <w:t xml:space="preserve">Total (TRY)</w:t>
            </w:r>
          </w:p>
        </w:tc>
      </w:tr>
      <w:tr>
        <w:tc>
          <w:tcPr/>
          <w:p>
            <w:pPr>
              <w:pStyle w:val="Compact"/>
              <w:jc w:val="left"/>
            </w:pPr>
            <w:r>
              <w:t xml:space="preserve">1</w:t>
            </w:r>
          </w:p>
        </w:tc>
        <w:tc>
          <w:tcPr/>
          <w:p>
            <w:pPr>
              <w:pStyle w:val="Compact"/>
              <w:jc w:val="left"/>
            </w:pPr>
            <w:r>
              <w:t xml:space="preserve">Initial site survey and feasibility study at the Turkey Istanbul Tuzla facility; assessment of existing infrastructure, utility connections, and zoning compliance for chemical processing operations.</w:t>
            </w:r>
          </w:p>
        </w:tc>
        <w:tc>
          <w:tcPr/>
          <w:p>
            <w:pPr>
              <w:pStyle w:val="Compact"/>
              <w:jc w:val="left"/>
            </w:pPr>
            <w:r>
              <w:t xml:space="preserve">2 weeks</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2</w:t>
            </w:r>
          </w:p>
        </w:tc>
        <w:tc>
          <w:tcPr/>
          <w:p>
            <w:pPr>
              <w:pStyle w:val="Compact"/>
              <w:jc w:val="left"/>
            </w:pPr>
            <w:r>
              <w:t xml:space="preserve">Process flow diagram (PFD) and piping and instrumentation diagram (P&amp;ID) development by a senior Chemical Engineer; includes reactor train design, separation units, and storage tank specifications.</w:t>
            </w:r>
          </w:p>
        </w:tc>
        <w:tc>
          <w:tcPr/>
          <w:p>
            <w:pPr>
              <w:pStyle w:val="Compact"/>
              <w:jc w:val="left"/>
            </w:pPr>
            <w:r>
              <w:t xml:space="preserve">6 weeks</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3</w:t>
            </w:r>
          </w:p>
        </w:tc>
        <w:tc>
          <w:tcPr/>
          <w:p>
            <w:pPr>
              <w:pStyle w:val="Compact"/>
              <w:jc w:val="left"/>
            </w:pPr>
            <w:r>
              <w:t xml:space="preserve">Thermodynamic and kinetic modelling of the polymerization reaction; simulation using Aspen Plus and HYSYS software to optimize yield, energy consumption, and catalyst usage for the Turkey Istanbul plant.</w:t>
            </w:r>
          </w:p>
        </w:tc>
        <w:tc>
          <w:tcPr/>
          <w:p>
            <w:pPr>
              <w:pStyle w:val="Compact"/>
              <w:jc w:val="left"/>
            </w:pPr>
            <w:r>
              <w:t xml:space="preserve">4 weeks</w:t>
            </w:r>
          </w:p>
        </w:tc>
        <w:tc>
          <w:tcPr/>
          <w:p>
            <w:pPr>
              <w:pStyle w:val="Compact"/>
              <w:jc w:val="left"/>
            </w:pPr>
            <w:r>
              <w:t xml:space="preserve">95,000</w:t>
            </w:r>
          </w:p>
        </w:tc>
        <w:tc>
          <w:tcPr/>
          <w:p>
            <w:pPr>
              <w:pStyle w:val="Compact"/>
              <w:jc w:val="left"/>
            </w:pPr>
            <w:r>
              <w:t xml:space="preserve">380,000</w:t>
            </w:r>
          </w:p>
        </w:tc>
      </w:tr>
      <w:tr>
        <w:tc>
          <w:tcPr/>
          <w:p>
            <w:pPr>
              <w:pStyle w:val="Compact"/>
              <w:jc w:val="left"/>
            </w:pPr>
            <w:r>
              <w:t xml:space="preserve">4</w:t>
            </w:r>
          </w:p>
        </w:tc>
        <w:tc>
          <w:tcPr/>
          <w:p>
            <w:pPr>
              <w:pStyle w:val="Compact"/>
              <w:jc w:val="left"/>
            </w:pPr>
            <w:r>
              <w:t xml:space="preserve">Process safety analysis (HAZOP, LOPA, and QRA) in accordance with TSE standards and EU ATEX directives as adopted in Turkey; preparation of the Safety Data Sheets for all chemical intermediates handled in Turkey Istanbul.</w:t>
            </w:r>
          </w:p>
        </w:tc>
        <w:tc>
          <w:tcPr/>
          <w:p>
            <w:pPr>
              <w:pStyle w:val="Compact"/>
              <w:jc w:val="left"/>
            </w:pPr>
            <w:r>
              <w:t xml:space="preserve">3 weeks</w:t>
            </w:r>
          </w:p>
        </w:tc>
        <w:tc>
          <w:tcPr/>
          <w:p>
            <w:pPr>
              <w:pStyle w:val="Compact"/>
              <w:jc w:val="left"/>
            </w:pPr>
            <w:r>
              <w:t xml:space="preserve">85,000</w:t>
            </w:r>
          </w:p>
        </w:tc>
        <w:tc>
          <w:tcPr/>
          <w:p>
            <w:pPr>
              <w:pStyle w:val="Compact"/>
              <w:jc w:val="left"/>
            </w:pPr>
            <w:r>
              <w:t xml:space="preserve">255,000</w:t>
            </w:r>
          </w:p>
        </w:tc>
      </w:tr>
      <w:tr>
        <w:tc>
          <w:tcPr/>
          <w:p>
            <w:pPr>
              <w:pStyle w:val="Compact"/>
              <w:jc w:val="left"/>
            </w:pPr>
            <w:r>
              <w:t xml:space="preserve">5</w:t>
            </w:r>
          </w:p>
        </w:tc>
        <w:tc>
          <w:tcPr/>
          <w:p>
            <w:pPr>
              <w:pStyle w:val="Compact"/>
              <w:jc w:val="left"/>
            </w:pPr>
            <w:r>
              <w:t xml:space="preserve">Environmental Impact Assessment (EIA) support and preparation of the ÇED (Çevresel Etki Değerlendirmesi) documentation required by the Istanbul Provincial Directorate of Environment for the Chemical Engineer's process emissions, wastewater discharge, and noise control plans.</w:t>
            </w:r>
          </w:p>
        </w:tc>
        <w:tc>
          <w:tcPr/>
          <w:p>
            <w:pPr>
              <w:pStyle w:val="Compact"/>
              <w:jc w:val="left"/>
            </w:pPr>
            <w:r>
              <w:t xml:space="preserve">5 weeks</w:t>
            </w:r>
          </w:p>
        </w:tc>
        <w:tc>
          <w:tcPr/>
          <w:p>
            <w:pPr>
              <w:pStyle w:val="Compact"/>
              <w:jc w:val="left"/>
            </w:pPr>
            <w:r>
              <w:t xml:space="preserve">78,000</w:t>
            </w:r>
          </w:p>
        </w:tc>
        <w:tc>
          <w:tcPr/>
          <w:p>
            <w:pPr>
              <w:pStyle w:val="Compact"/>
              <w:jc w:val="left"/>
            </w:pPr>
            <w:r>
              <w:t xml:space="preserve">390,000</w:t>
            </w:r>
          </w:p>
        </w:tc>
      </w:tr>
      <w:tr>
        <w:tc>
          <w:tcPr/>
          <w:p>
            <w:pPr>
              <w:pStyle w:val="Compact"/>
              <w:jc w:val="left"/>
            </w:pPr>
            <w:r>
              <w:t xml:space="preserve">6</w:t>
            </w:r>
          </w:p>
        </w:tc>
        <w:tc>
          <w:tcPr/>
          <w:p>
            <w:pPr>
              <w:pStyle w:val="Compact"/>
              <w:jc w:val="left"/>
            </w:pPr>
            <w:r>
              <w:t xml:space="preserve">Commissioning support and startup supervision by the assigned Chemical Engineer team on-site in Turkey Istanbul; includes operator training (40 hours), performance guarantee testing, and handover documentation.</w:t>
            </w:r>
          </w:p>
        </w:tc>
        <w:tc>
          <w:tcPr/>
          <w:p>
            <w:pPr>
              <w:pStyle w:val="Compact"/>
              <w:jc w:val="left"/>
            </w:pPr>
            <w:r>
              <w:t xml:space="preserve">8 weeks</w:t>
            </w:r>
          </w:p>
        </w:tc>
        <w:tc>
          <w:tcPr/>
          <w:p>
            <w:pPr>
              <w:pStyle w:val="Compact"/>
              <w:jc w:val="left"/>
            </w:pPr>
            <w:r>
              <w:t xml:space="preserve">110,000</w:t>
            </w:r>
          </w:p>
        </w:tc>
        <w:tc>
          <w:tcPr/>
          <w:p>
            <w:pPr>
              <w:pStyle w:val="Compact"/>
              <w:jc w:val="left"/>
            </w:pPr>
            <w:r>
              <w:t xml:space="preserve">880,000</w:t>
            </w:r>
          </w:p>
        </w:tc>
      </w:tr>
      <w:tr>
        <w:tc>
          <w:tcPr/>
          <w:p>
            <w:pPr>
              <w:pStyle w:val="Compact"/>
              <w:jc w:val="left"/>
            </w:pPr>
            <w:r>
              <w:t xml:space="preserve">7</w:t>
            </w:r>
          </w:p>
        </w:tc>
        <w:tc>
          <w:tcPr/>
          <w:p>
            <w:pPr>
              <w:pStyle w:val="Compact"/>
              <w:jc w:val="left"/>
            </w:pPr>
            <w:r>
              <w:t xml:space="preserve">Annual maintenance planning and continuous process optimization advisory for the first 12 months of operation in Turkey Istanbul; quarterly site visits by the Chemical Engineer and remote monitoring support.</w:t>
            </w:r>
          </w:p>
        </w:tc>
        <w:tc>
          <w:tcPr/>
          <w:p>
            <w:pPr>
              <w:pStyle w:val="Compact"/>
              <w:jc w:val="left"/>
            </w:pPr>
            <w:r>
              <w:t xml:space="preserve">12 months</w:t>
            </w:r>
          </w:p>
        </w:tc>
        <w:tc>
          <w:tcPr/>
          <w:p>
            <w:pPr>
              <w:pStyle w:val="Compact"/>
              <w:jc w:val="left"/>
            </w:pPr>
            <w:r>
              <w:t xml:space="preserve">65,000</w:t>
            </w:r>
          </w:p>
        </w:tc>
        <w:tc>
          <w:tcPr/>
          <w:p>
            <w:pPr>
              <w:pStyle w:val="Compact"/>
              <w:jc w:val="left"/>
            </w:pPr>
            <w:r>
              <w:t xml:space="preserve">780,000</w:t>
            </w:r>
          </w:p>
        </w:tc>
      </w:tr>
      <w:tr>
        <w:tc>
          <w:tcPr>
            <w:gridSpan w:val="4"/>
          </w:tcPr>
          <w:p>
            <w:pPr>
              <w:pStyle w:val="Compact"/>
              <w:jc w:val="right"/>
            </w:pPr>
            <w:r>
              <w:t xml:space="preserve">SUBTOTAL (Excl. VAT)</w:t>
            </w:r>
          </w:p>
        </w:tc>
        <w:tc>
          <w:tcPr/>
          <w:p>
            <w:pPr>
              <w:pStyle w:val="Compact"/>
              <w:jc w:val="left"/>
            </w:pPr>
            <w:r>
              <w:t xml:space="preserve">3,495,000</w:t>
            </w:r>
          </w:p>
        </w:tc>
      </w:tr>
      <w:tr>
        <w:tc>
          <w:tcPr>
            <w:gridSpan w:val="4"/>
          </w:tcPr>
          <w:p>
            <w:pPr>
              <w:pStyle w:val="Compact"/>
              <w:jc w:val="right"/>
            </w:pPr>
            <w:r>
              <w:t xml:space="preserve">VAT (KDV) – 20%</w:t>
            </w:r>
          </w:p>
        </w:tc>
        <w:tc>
          <w:tcPr/>
          <w:p>
            <w:pPr>
              <w:pStyle w:val="Compact"/>
              <w:jc w:val="left"/>
            </w:pPr>
            <w:r>
              <w:t xml:space="preserve">699,000</w:t>
            </w:r>
          </w:p>
        </w:tc>
      </w:tr>
      <w:tr>
        <w:tc>
          <w:tcPr>
            <w:gridSpan w:val="4"/>
          </w:tcPr>
          <w:p>
            <w:pPr>
              <w:pStyle w:val="Compact"/>
              <w:jc w:val="right"/>
            </w:pPr>
            <w:r>
              <w:t xml:space="preserve">GRAND TOTAL (Incl. VAT)</w:t>
            </w:r>
          </w:p>
        </w:tc>
        <w:tc>
          <w:tcPr/>
          <w:p>
            <w:pPr>
              <w:pStyle w:val="Compact"/>
              <w:jc w:val="left"/>
            </w:pPr>
            <w:r>
              <w:t xml:space="preserve">4,194,000</w:t>
            </w:r>
          </w:p>
        </w:tc>
      </w:tr>
    </w:tbl>
    <w:bookmarkEnd w:id="23"/>
    <w:bookmarkStart w:id="24" w:name="X985eb999f0cfcda5f1af1a675bf0b7c2e0a6c64"/>
    <w:p>
      <w:pPr>
        <w:pStyle w:val="Heading3"/>
      </w:pPr>
      <w:r>
        <w:t xml:space="preserve">3. Terms and Conditions of This Quotation Estimate</w:t>
      </w:r>
    </w:p>
    <w:p>
      <w:pPr>
        <w:pStyle w:val="FirstParagraph"/>
      </w:pPr>
      <w:r>
        <w:rPr>
          <w:bCs/>
          <w:b/>
        </w:rPr>
        <w:t xml:space="preserve">3.1 Validity:</w:t>
      </w:r>
      <w:r>
        <w:t xml:space="preserve"> </w:t>
      </w:r>
      <w:r>
        <w:t xml:space="preserve">This Quotation Estimate is valid for thirty (30) calendar days from the date of issue. After the expiry date, all rates, particularly those tied to the Turkish Lira exchange rate and prevailing chemical engineering labour costs in Turkey Istanbul, are subject to revision.</w:t>
      </w:r>
    </w:p>
    <w:p>
      <w:pPr>
        <w:pStyle w:val="BodyText"/>
      </w:pPr>
      <w:r>
        <w:rPr>
          <w:bCs/>
          <w:b/>
        </w:rPr>
        <w:t xml:space="preserve">3.2 Payment Schedule:</w:t>
      </w:r>
      <w:r>
        <w:t xml:space="preserve"> </w:t>
      </w:r>
      <w:r>
        <w:t xml:space="preserve">30% advance payment upon acceptance of this Quotation Estimate; 40% upon completion of the detailed design phase (Items 2 and 3); 20% upon successful commissioning (Item 6); and 10% upon completion of the first quarterly advisory visit (Item 7). All payments shall be made in Turkish Lira (TRY) via bank transfer to the account of Meridian Process Engineering Ltd., Ziraat Bankası, Istanbul Şişli Branch.</w:t>
      </w:r>
    </w:p>
    <w:p>
      <w:pPr>
        <w:pStyle w:val="BodyText"/>
      </w:pPr>
      <w:r>
        <w:rPr>
          <w:bCs/>
          <w:b/>
        </w:rPr>
        <w:t xml:space="preserve">3.3 Intellectual Property:</w:t>
      </w:r>
      <w:r>
        <w:t xml:space="preserve"> </w:t>
      </w:r>
      <w:r>
        <w:t xml:space="preserve">All process designs, simulation files, P&amp;IDs, and safety reports produced by the Chemical Engineer team remain the exclusive property of the client upon full payment. Meridian Process Engineering Ltd. retains the right to reference the project in its portfolio with the client's written consent.</w:t>
      </w:r>
    </w:p>
    <w:p>
      <w:pPr>
        <w:pStyle w:val="BodyText"/>
      </w:pPr>
      <w:r>
        <w:rPr>
          <w:bCs/>
          <w:b/>
        </w:rPr>
        <w:t xml:space="preserve">3.4 Regulatory Compliance:</w:t>
      </w:r>
      <w:r>
        <w:t xml:space="preserve"> </w:t>
      </w:r>
      <w:r>
        <w:t xml:space="preserve">The Chemical Engineer services described herein shall comply with all applicable regulations of the Republic of Turkey, including but not limited to the Industrial Safety and Health Law (Law No. 6331), the Environmental Law (Law No. 2872), and the specific zoning and emission permits required for chemical processing facilities in the Turkey Istanbul metropolitan area.</w:t>
      </w:r>
    </w:p>
    <w:p>
      <w:pPr>
        <w:pStyle w:val="BodyText"/>
      </w:pPr>
      <w:r>
        <w:rPr>
          <w:bCs/>
          <w:b/>
        </w:rPr>
        <w:t xml:space="preserve">3.5 Force Majeure:</w:t>
      </w:r>
      <w:r>
        <w:t xml:space="preserve"> </w:t>
      </w:r>
      <w:r>
        <w:t xml:space="preserve">Neither party shall be liable for delays caused by events beyond reasonable control, including but not limited to natural disasters, government-mandated shutdowns in Turkey Istanbul, or supply chain disruptions affecting chemical raw materials.</w:t>
      </w:r>
    </w:p>
    <w:p>
      <w:pPr>
        <w:pStyle w:val="BodyText"/>
      </w:pPr>
      <w:r>
        <w:rPr>
          <w:bCs/>
          <w:b/>
        </w:rPr>
        <w:t xml:space="preserve">3.6 Dispute Resolution:</w:t>
      </w:r>
      <w:r>
        <w:t xml:space="preserve"> </w:t>
      </w:r>
      <w:r>
        <w:t xml:space="preserve">Any disputes arising from this Quotation Estimate shall be resolved through arbitration in Istanbul, Turkey, in accordance with the rules of the Istanbul Arbitration Centre (ISTAC). The governing law shall be the laws of the Republic of Turkey.</w:t>
      </w:r>
    </w:p>
    <w:p>
      <w:pPr>
        <w:pStyle w:val="BodyText"/>
      </w:pPr>
      <w:r>
        <w:rPr>
          <w:bCs/>
          <w:b/>
        </w:rPr>
        <w:t xml:space="preserve">3.7 Confidentiality:</w:t>
      </w:r>
      <w:r>
        <w:t xml:space="preserve"> </w:t>
      </w:r>
      <w:r>
        <w:t xml:space="preserve">Both parties agree to maintain strict confidentiality regarding all technical data, process parameters, and commercial information exchanged during the engagement. This obligation survives the termination of the contract for a period of five (5) years.</w:t>
      </w:r>
    </w:p>
    <w:bookmarkEnd w:id="24"/>
    <w:bookmarkStart w:id="25" w:name="acceptance-and-authorization"/>
    <w:p>
      <w:pPr>
        <w:pStyle w:val="Heading3"/>
      </w:pPr>
      <w:r>
        <w:t xml:space="preserve">4. Acceptance and Authorization</w:t>
      </w:r>
    </w:p>
    <w:p>
      <w:pPr>
        <w:pStyle w:val="FirstParagraph"/>
      </w:pPr>
      <w:r>
        <w:t xml:space="preserve">By signing below, the client acknowledges receipt of this Quotation Estimate and agrees to the scope, pricing, and terms outlined for the Chemical Engineer services to be delivered in Turkey Istanbul. This document constitutes a binding offer upon countersignature by both parties.</w:t>
      </w:r>
    </w:p>
    <w:p>
      <w:pPr>
        <w:pStyle w:val="BodyText"/>
      </w:pPr>
      <w:r>
        <w:rPr>
          <w:bCs/>
          <w:b/>
        </w:rPr>
        <w:t xml:space="preserve">For Meridian Process Engineering Ltd.</w:t>
      </w:r>
    </w:p>
    <w:p>
      <w:pPr>
        <w:pStyle w:val="BodyText"/>
      </w:pPr>
      <w:r>
        <w:t xml:space="preserve">Dr. Elif Kaya</w:t>
      </w:r>
      <w:r>
        <w:br/>
      </w:r>
      <w:r>
        <w:t xml:space="preserve">Lead Chemical Engineer / Authorized Signatory</w:t>
      </w:r>
      <w:r>
        <w:br/>
      </w:r>
      <w:r>
        <w:t xml:space="preserve">Date: _______________</w:t>
      </w:r>
    </w:p>
    <w:p>
      <w:pPr>
        <w:pStyle w:val="BodyText"/>
      </w:pPr>
      <w:r>
        <w:rPr>
          <w:bCs/>
          <w:b/>
        </w:rPr>
        <w:t xml:space="preserve">For Bosphorus Petrochemical Industries A.Ş.</w:t>
      </w:r>
    </w:p>
    <w:p>
      <w:pPr>
        <w:pStyle w:val="BodyText"/>
      </w:pPr>
      <w:r>
        <w:t xml:space="preserve">Name: _______________</w:t>
      </w:r>
      <w:r>
        <w:br/>
      </w:r>
      <w:r>
        <w:t xml:space="preserve">Title: _______________</w:t>
      </w:r>
      <w:r>
        <w:br/>
      </w:r>
      <w:r>
        <w:t xml:space="preserve">Date: _______________</w:t>
      </w:r>
    </w:p>
    <w:p>
      <w:pPr>
        <w:pStyle w:val="BodyText"/>
      </w:pPr>
      <w:r>
        <w:rPr>
          <w:bCs/>
          <w:b/>
        </w:rPr>
        <w:t xml:space="preserve">Note:</w:t>
      </w:r>
      <w:r>
        <w:t xml:space="preserve"> </w:t>
      </w:r>
      <w:r>
        <w:t xml:space="preserve">This Quotation Estimate is prepared specifically for the Chemical Engineer engagement in Turkey Istanbul and is non-transferable. All prices are quoted in Turkish Lira (TRY) and are subject to the prevailing KDV (VAT) rate at the time of invoicing. Meridian Process Engineering Ltd. reserves the right to amend this Quotation Estimate in the event of significant changes to the scope of work or applicable regulatory requirements in Turkey Istanbul. Please direct all inquiries regarding this document to quotations@meridianprocess.com.tr or +90 212 555 0147.</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Chemical Engineer Services - Turkey Istanbul</dc:title>
  <dc:creator/>
  <dc:language>en</dc:language>
  <cp:keywords/>
  <dcterms:created xsi:type="dcterms:W3CDTF">2026-10-10T04:05:53Z</dcterms:created>
  <dcterms:modified xsi:type="dcterms:W3CDTF">2026-10-10T04:05:53Z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