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Chemical</w:t>
      </w:r>
      <w:r>
        <w:t xml:space="preserve"> </w:t>
      </w:r>
      <w:r>
        <w:t xml:space="preserve">Engineer</w:t>
      </w:r>
      <w:r>
        <w:t xml:space="preserve"> </w:t>
      </w:r>
      <w:r>
        <w:t xml:space="preserve">Services</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0" w:name="quotation-estimate"/>
    <w:p>
      <w:pPr>
        <w:pStyle w:val="Heading1"/>
      </w:pPr>
      <w:r>
        <w:t xml:space="preserve">Quotation Estimate</w:t>
      </w:r>
    </w:p>
    <w:p>
      <w:pPr>
        <w:pStyle w:val="FirstParagraph"/>
      </w:pPr>
      <w:r>
        <w:t xml:space="preserve">Professional Chemical Engineer Services</w:t>
      </w:r>
    </w:p>
    <w:p>
      <w:pPr>
        <w:pStyle w:val="BodyText"/>
      </w:pPr>
      <w:r>
        <w:t xml:space="preserve">United Arab Emirates — Abu Dhabi</w:t>
      </w:r>
    </w:p>
    <w:p>
      <w:pPr>
        <w:pStyle w:val="BodyText"/>
      </w:pPr>
      <w:r>
        <w:t xml:space="preserve">Document Ref: QE-AD-2025-04782 | Date of Issue: 15 June 2025 | Valid Until: 15 July 2025</w:t>
      </w:r>
    </w:p>
    <w:bookmarkEnd w:id="20"/>
    <w:p>
      <w:pPr>
        <w:pStyle w:val="BodyText"/>
      </w:pPr>
      <w:r>
        <w:rPr>
          <w:bCs/>
          <w:b/>
        </w:rPr>
        <w:t xml:space="preserve">Prepared By:</w:t>
      </w:r>
      <w:r>
        <w:br/>
      </w:r>
      <w:r>
        <w:t xml:space="preserve">Gulf Petrochemical Engineering Consultants LLC</w:t>
      </w:r>
      <w:r>
        <w:br/>
      </w:r>
      <w:r>
        <w:t xml:space="preserve">Office 42, Level 7, Al Reem Island Tower</w:t>
      </w:r>
      <w:r>
        <w:br/>
      </w:r>
      <w:r>
        <w:t xml:space="preserve">Abu Dhabi, United Arab Emirates</w:t>
      </w:r>
      <w:r>
        <w:br/>
      </w:r>
      <w:r>
        <w:t xml:space="preserve">Tel: +971 2 445 6789</w:t>
      </w:r>
      <w:r>
        <w:br/>
      </w:r>
      <w:r>
        <w:t xml:space="preserve">Email: quotations@gpce-consultants.ae</w:t>
      </w:r>
    </w:p>
    <w:p>
      <w:pPr>
        <w:pStyle w:val="BodyText"/>
      </w:pPr>
      <w:r>
        <w:rPr>
          <w:bCs/>
          <w:b/>
        </w:rPr>
        <w:t xml:space="preserve">Prepared For:</w:t>
      </w:r>
      <w:r>
        <w:br/>
      </w:r>
      <w:r>
        <w:t xml:space="preserve">[Client Company Name]</w:t>
      </w:r>
      <w:r>
        <w:br/>
      </w:r>
      <w:r>
        <w:t xml:space="preserve">[Client Address]</w:t>
      </w:r>
      <w:r>
        <w:br/>
      </w:r>
      <w:r>
        <w:t xml:space="preserve">Abu Dhabi, United Arab Emirates</w:t>
      </w:r>
      <w:r>
        <w:br/>
      </w:r>
      <w:r>
        <w:t xml:space="preserve">Contact: [Client Contact Person]</w:t>
      </w:r>
      <w:r>
        <w:br/>
      </w:r>
      <w:r>
        <w:t xml:space="preserve">Email: [Client Email]</w:t>
      </w:r>
    </w:p>
    <w:p>
      <w:pPr>
        <w:pStyle w:val="BodyText"/>
      </w:pPr>
      <w:r>
        <w:t xml:space="preserve">1. Purpose and Scope of This Quotation Estimate</w:t>
      </w:r>
    </w:p>
    <w:p>
      <w:pPr>
        <w:pStyle w:val="BodyText"/>
      </w:pPr>
      <w:r>
        <w:t xml:space="preserve">This</w:t>
      </w:r>
      <w:r>
        <w:t xml:space="preserve"> </w:t>
      </w:r>
      <w:r>
        <w:t xml:space="preserve">Quotation Estimate</w:t>
      </w:r>
      <w:r>
        <w:t xml:space="preserve"> </w:t>
      </w:r>
      <w:r>
        <w:t xml:space="preserve">is issued by Gulf Petrochemical Engineering Consultants LLC to provide a comprehensive and itemized cost breakdown for the engagement of a qualified</w:t>
      </w:r>
      <w:r>
        <w:t xml:space="preserve"> </w:t>
      </w:r>
      <w:r>
        <w:t xml:space="preserve">Chemical Engineer</w:t>
      </w:r>
      <w:r>
        <w:t xml:space="preserve"> </w:t>
      </w:r>
      <w:r>
        <w:t xml:space="preserve">to deliver specialized technical services within the</w:t>
      </w:r>
      <w:r>
        <w:t xml:space="preserve"> </w:t>
      </w:r>
      <w:r>
        <w:t xml:space="preserve">United Arab Emirates Abu Dhabi</w:t>
      </w:r>
      <w:r>
        <w:t xml:space="preserve"> </w:t>
      </w:r>
      <w:r>
        <w:t xml:space="preserve">region. The scope of work outlined herein encompasses process design, plant optimization, safety compliance auditing, and technical consultancy aligned with the regulatory standards enforced by the Abu Dhabi Department of Energy (DoE) and the Abu Dhabi National Oil Company (ADNOC) operational guidelines.</w:t>
      </w:r>
    </w:p>
    <w:p>
      <w:pPr>
        <w:pStyle w:val="BodyText"/>
      </w:pPr>
      <w:r>
        <w:t xml:space="preserve">The</w:t>
      </w:r>
      <w:r>
        <w:t xml:space="preserve"> </w:t>
      </w:r>
      <w:r>
        <w:t xml:space="preserve">Chemical Engineer</w:t>
      </w:r>
      <w:r>
        <w:t xml:space="preserve"> </w:t>
      </w:r>
      <w:r>
        <w:t xml:space="preserve">proposed for this engagement holds a Bachelor of Science in Chemical Engineering from an accredited institution, possesses a minimum of twelve (12) years of progressive experience in petrochemical and downstream processing facilities, and is fully registered with the Abu Dhabi Professional Engineers Council. All services described in this</w:t>
      </w:r>
      <w:r>
        <w:t xml:space="preserve"> </w:t>
      </w:r>
      <w:r>
        <w:t xml:space="preserve">Quotation Estimate</w:t>
      </w:r>
      <w:r>
        <w:t xml:space="preserve"> </w:t>
      </w:r>
      <w:r>
        <w:t xml:space="preserve">shall be performed in strict accordance with the UAE Federal Law on Occupational Safety and Health, as well as the specific environmental and operational regulations governing industrial activity in the</w:t>
      </w:r>
      <w:r>
        <w:t xml:space="preserve"> </w:t>
      </w:r>
      <w:r>
        <w:t xml:space="preserve">United Arab Emirates Abu Dhabi</w:t>
      </w:r>
      <w:r>
        <w:t xml:space="preserve"> </w:t>
      </w:r>
      <w:r>
        <w:t xml:space="preserve">emirate.</w:t>
      </w:r>
    </w:p>
    <w:p>
      <w:pPr>
        <w:pStyle w:val="BodyText"/>
      </w:pPr>
      <w:r>
        <w:t xml:space="preserve">2.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Rate (AED)</w:t>
            </w:r>
          </w:p>
        </w:tc>
        <w:tc>
          <w:tcPr/>
          <w:p>
            <w:pPr>
              <w:pStyle w:val="Compact"/>
              <w:jc w:val="left"/>
            </w:pPr>
            <w:r>
              <w:t xml:space="preserve">Amount (AED)</w:t>
            </w:r>
          </w:p>
        </w:tc>
        <w:tc>
          <w:tcPr/>
          <w:p>
            <w:pPr>
              <w:pStyle w:val="Compact"/>
              <w:jc w:val="left"/>
            </w:pPr>
            <w:r>
              <w:t xml:space="preserve">Notes</w:t>
            </w:r>
          </w:p>
        </w:tc>
      </w:tr>
      <w:tr>
        <w:tc>
          <w:tcPr/>
          <w:p>
            <w:pPr>
              <w:pStyle w:val="Compact"/>
              <w:jc w:val="left"/>
            </w:pPr>
            <w:r>
              <w:t xml:space="preserve">01</w:t>
            </w:r>
          </w:p>
        </w:tc>
        <w:tc>
          <w:tcPr/>
          <w:p>
            <w:pPr>
              <w:pStyle w:val="Compact"/>
              <w:jc w:val="left"/>
            </w:pPr>
            <w:r>
              <w:t xml:space="preserve">On-site process audit and feasibility study for the existing chemical processing unit located in the Abu Dhabi Industrial Zone</w:t>
            </w:r>
          </w:p>
        </w:tc>
        <w:tc>
          <w:tcPr/>
          <w:p>
            <w:pPr>
              <w:pStyle w:val="Compact"/>
              <w:jc w:val="left"/>
            </w:pPr>
            <w:r>
              <w:t xml:space="preserve">10 working days</w:t>
            </w:r>
          </w:p>
        </w:tc>
        <w:tc>
          <w:tcPr/>
          <w:p>
            <w:pPr>
              <w:pStyle w:val="Compact"/>
              <w:jc w:val="left"/>
            </w:pPr>
            <w:r>
              <w:t xml:space="preserve">4,500 / day</w:t>
            </w:r>
          </w:p>
        </w:tc>
        <w:tc>
          <w:tcPr/>
          <w:p>
            <w:pPr>
              <w:pStyle w:val="Compact"/>
              <w:jc w:val="left"/>
            </w:pPr>
            <w:r>
              <w:t xml:space="preserve">45,000.00</w:t>
            </w:r>
          </w:p>
        </w:tc>
        <w:tc>
          <w:tcPr/>
          <w:p>
            <w:pPr>
              <w:pStyle w:val="Compact"/>
              <w:jc w:val="left"/>
            </w:pPr>
            <w:r>
              <w:t xml:space="preserve">Incl. travel within Abu Dhabi</w:t>
            </w:r>
          </w:p>
        </w:tc>
      </w:tr>
      <w:tr>
        <w:tc>
          <w:tcPr/>
          <w:p>
            <w:pPr>
              <w:pStyle w:val="Compact"/>
              <w:jc w:val="left"/>
            </w:pPr>
            <w:r>
              <w:t xml:space="preserve">02</w:t>
            </w:r>
          </w:p>
        </w:tc>
        <w:tc>
          <w:tcPr/>
          <w:p>
            <w:pPr>
              <w:pStyle w:val="Compact"/>
              <w:jc w:val="left"/>
            </w:pPr>
            <w:r>
              <w:t xml:space="preserve">Development of detailed process flow diagrams (PFDs) and piping and instrumentation diagrams (P&amp;IDs) for the proposed expansion</w:t>
            </w:r>
          </w:p>
        </w:tc>
        <w:tc>
          <w:tcPr/>
          <w:p>
            <w:pPr>
              <w:pStyle w:val="Compact"/>
              <w:jc w:val="left"/>
            </w:pPr>
            <w:r>
              <w:t xml:space="preserve">20 working days</w:t>
            </w:r>
          </w:p>
        </w:tc>
        <w:tc>
          <w:tcPr/>
          <w:p>
            <w:pPr>
              <w:pStyle w:val="Compact"/>
              <w:jc w:val="left"/>
            </w:pPr>
            <w:r>
              <w:t xml:space="preserve">4,500 / day</w:t>
            </w:r>
          </w:p>
        </w:tc>
        <w:tc>
          <w:tcPr/>
          <w:p>
            <w:pPr>
              <w:pStyle w:val="Compact"/>
              <w:jc w:val="left"/>
            </w:pPr>
            <w:r>
              <w:t xml:space="preserve">90,000.00</w:t>
            </w:r>
          </w:p>
        </w:tc>
        <w:tc>
          <w:tcPr/>
          <w:p>
            <w:pPr>
              <w:pStyle w:val="Compact"/>
              <w:jc w:val="left"/>
            </w:pPr>
            <w:r>
              <w:t xml:space="preserve">Deliverables in AutoCAD &amp; HAZOP format</w:t>
            </w:r>
          </w:p>
        </w:tc>
      </w:tr>
      <w:tr>
        <w:tc>
          <w:tcPr/>
          <w:p>
            <w:pPr>
              <w:pStyle w:val="Compact"/>
              <w:jc w:val="left"/>
            </w:pPr>
            <w:r>
              <w:t xml:space="preserve">03</w:t>
            </w:r>
          </w:p>
        </w:tc>
        <w:tc>
          <w:tcPr/>
          <w:p>
            <w:pPr>
              <w:pStyle w:val="Compact"/>
              <w:jc w:val="left"/>
            </w:pPr>
            <w:r>
              <w:t xml:space="preserve">Hazard and Operability (HAZOP) study and risk assessment in compliance with ADNOC safety standards</w:t>
            </w:r>
          </w:p>
        </w:tc>
        <w:tc>
          <w:tcPr/>
          <w:p>
            <w:pPr>
              <w:pStyle w:val="Compact"/>
              <w:jc w:val="left"/>
            </w:pPr>
            <w:r>
              <w:t xml:space="preserve">8 working days</w:t>
            </w:r>
          </w:p>
        </w:tc>
        <w:tc>
          <w:tcPr/>
          <w:p>
            <w:pPr>
              <w:pStyle w:val="Compact"/>
              <w:jc w:val="left"/>
            </w:pPr>
            <w:r>
              <w:t xml:space="preserve">5,200 / day</w:t>
            </w:r>
          </w:p>
        </w:tc>
        <w:tc>
          <w:tcPr/>
          <w:p>
            <w:pPr>
              <w:pStyle w:val="Compact"/>
              <w:jc w:val="left"/>
            </w:pPr>
            <w:r>
              <w:t xml:space="preserve">41,600.00</w:t>
            </w:r>
          </w:p>
        </w:tc>
        <w:tc>
          <w:tcPr/>
          <w:p>
            <w:pPr>
              <w:pStyle w:val="Compact"/>
              <w:jc w:val="left"/>
            </w:pPr>
            <w:r>
              <w:t xml:space="preserve">Includes 2 workshop sessions</w:t>
            </w:r>
          </w:p>
        </w:tc>
      </w:tr>
      <w:tr>
        <w:tc>
          <w:tcPr/>
          <w:p>
            <w:pPr>
              <w:pStyle w:val="Compact"/>
              <w:jc w:val="left"/>
            </w:pPr>
            <w:r>
              <w:t xml:space="preserve">04</w:t>
            </w:r>
          </w:p>
        </w:tc>
        <w:tc>
          <w:tcPr/>
          <w:p>
            <w:pPr>
              <w:pStyle w:val="Compact"/>
              <w:jc w:val="left"/>
            </w:pPr>
            <w:r>
              <w:t xml:space="preserve">Environmental impact assessment and effluent treatment system design for compliance with Abu Dhabi Environment Agency regulations</w:t>
            </w:r>
          </w:p>
        </w:tc>
        <w:tc>
          <w:tcPr/>
          <w:p>
            <w:pPr>
              <w:pStyle w:val="Compact"/>
              <w:jc w:val="left"/>
            </w:pPr>
            <w:r>
              <w:t xml:space="preserve">12 working days</w:t>
            </w:r>
          </w:p>
        </w:tc>
        <w:tc>
          <w:tcPr/>
          <w:p>
            <w:pPr>
              <w:pStyle w:val="Compact"/>
              <w:jc w:val="left"/>
            </w:pPr>
            <w:r>
              <w:t xml:space="preserve">4,800 / day</w:t>
            </w:r>
          </w:p>
        </w:tc>
        <w:tc>
          <w:tcPr/>
          <w:p>
            <w:pPr>
              <w:pStyle w:val="Compact"/>
              <w:jc w:val="left"/>
            </w:pPr>
            <w:r>
              <w:t xml:space="preserve">57,600.00</w:t>
            </w:r>
          </w:p>
        </w:tc>
        <w:tc>
          <w:tcPr/>
          <w:p>
            <w:pPr>
              <w:pStyle w:val="Compact"/>
              <w:jc w:val="left"/>
            </w:pPr>
            <w:r>
              <w:t xml:space="preserve">Includes lab sampling coordination</w:t>
            </w:r>
          </w:p>
        </w:tc>
      </w:tr>
      <w:tr>
        <w:tc>
          <w:tcPr/>
          <w:p>
            <w:pPr>
              <w:pStyle w:val="Compact"/>
              <w:jc w:val="left"/>
            </w:pPr>
            <w:r>
              <w:t xml:space="preserve">05</w:t>
            </w:r>
          </w:p>
        </w:tc>
        <w:tc>
          <w:tcPr/>
          <w:p>
            <w:pPr>
              <w:pStyle w:val="Compact"/>
              <w:jc w:val="left"/>
            </w:pPr>
            <w:r>
              <w:t xml:space="preserve">Technical report compilation, regulatory submission preparation, and presentation to Abu Dhabi DoE review committee</w:t>
            </w:r>
          </w:p>
        </w:tc>
        <w:tc>
          <w:tcPr/>
          <w:p>
            <w:pPr>
              <w:pStyle w:val="Compact"/>
              <w:jc w:val="left"/>
            </w:pPr>
            <w:r>
              <w:t xml:space="preserve">6 working days</w:t>
            </w:r>
          </w:p>
        </w:tc>
        <w:tc>
          <w:tcPr/>
          <w:p>
            <w:pPr>
              <w:pStyle w:val="Compact"/>
              <w:jc w:val="left"/>
            </w:pPr>
            <w:r>
              <w:t xml:space="preserve">4,500 / day</w:t>
            </w:r>
          </w:p>
        </w:tc>
        <w:tc>
          <w:tcPr/>
          <w:p>
            <w:pPr>
              <w:pStyle w:val="Compact"/>
              <w:jc w:val="left"/>
            </w:pPr>
            <w:r>
              <w:t xml:space="preserve">27,000.00</w:t>
            </w:r>
          </w:p>
        </w:tc>
        <w:tc>
          <w:tcPr/>
          <w:p>
            <w:pPr>
              <w:pStyle w:val="Compact"/>
              <w:jc w:val="left"/>
            </w:pPr>
            <w:r>
              <w:t xml:space="preserve">3 copies + digital submission</w:t>
            </w:r>
          </w:p>
        </w:tc>
      </w:tr>
      <w:tr>
        <w:tc>
          <w:tcPr/>
          <w:p>
            <w:pPr>
              <w:pStyle w:val="Compact"/>
              <w:jc w:val="left"/>
            </w:pPr>
            <w:r>
              <w:t xml:space="preserve">06</w:t>
            </w:r>
          </w:p>
        </w:tc>
        <w:tc>
          <w:tcPr/>
          <w:p>
            <w:pPr>
              <w:pStyle w:val="Compact"/>
              <w:jc w:val="left"/>
            </w:pPr>
            <w:r>
              <w:t xml:space="preserve">Post-implementation support, commissioning oversight, and 90-day warranty period for all engineering deliverables</w:t>
            </w:r>
          </w:p>
        </w:tc>
        <w:tc>
          <w:tcPr/>
          <w:p>
            <w:pPr>
              <w:pStyle w:val="Compact"/>
              <w:jc w:val="left"/>
            </w:pPr>
            <w:r>
              <w:t xml:space="preserve">90 days</w:t>
            </w:r>
          </w:p>
        </w:tc>
        <w:tc>
          <w:tcPr/>
          <w:p>
            <w:pPr>
              <w:pStyle w:val="Compact"/>
              <w:jc w:val="left"/>
            </w:pPr>
            <w:r>
              <w:t xml:space="preserve">Flat fee</w:t>
            </w:r>
          </w:p>
        </w:tc>
        <w:tc>
          <w:tcPr/>
          <w:p>
            <w:pPr>
              <w:pStyle w:val="Compact"/>
              <w:jc w:val="left"/>
            </w:pPr>
            <w:r>
              <w:t xml:space="preserve">35,000.00</w:t>
            </w:r>
          </w:p>
        </w:tc>
        <w:tc>
          <w:tcPr/>
          <w:p>
            <w:pPr>
              <w:pStyle w:val="Compact"/>
              <w:jc w:val="left"/>
            </w:pPr>
            <w:r>
              <w:t xml:space="preserve">Remote + 2 site visits</w:t>
            </w:r>
          </w:p>
        </w:tc>
      </w:tr>
      <w:tr>
        <w:tc>
          <w:tcPr>
            <w:gridSpan w:val="4"/>
          </w:tcPr>
          <w:p>
            <w:pPr>
              <w:pStyle w:val="Compact"/>
              <w:jc w:val="left"/>
            </w:pPr>
            <w:r>
              <w:t xml:space="preserve">Subtotal (AED)</w:t>
            </w:r>
          </w:p>
        </w:tc>
        <w:tc>
          <w:tcPr/>
          <w:p>
            <w:pPr>
              <w:pStyle w:val="Compact"/>
              <w:jc w:val="left"/>
            </w:pPr>
            <w:r>
              <w:t xml:space="preserve">296,200.00</w:t>
            </w:r>
          </w:p>
        </w:tc>
        <w:tc>
          <w:tcPr/>
          <w:p>
            <w:pPr>
              <w:pStyle w:val="Compact"/>
            </w:pPr>
          </w:p>
        </w:tc>
      </w:tr>
      <w:tr>
        <w:tc>
          <w:tcPr>
            <w:gridSpan w:val="4"/>
          </w:tcPr>
          <w:p>
            <w:pPr>
              <w:pStyle w:val="Compact"/>
              <w:jc w:val="left"/>
            </w:pPr>
            <w:r>
              <w:t xml:space="preserve">VAT @ 5% (United Arab Emirates)</w:t>
            </w:r>
          </w:p>
        </w:tc>
        <w:tc>
          <w:tcPr/>
          <w:p>
            <w:pPr>
              <w:pStyle w:val="Compact"/>
              <w:jc w:val="left"/>
            </w:pPr>
            <w:r>
              <w:t xml:space="preserve">14,810.00</w:t>
            </w:r>
          </w:p>
        </w:tc>
        <w:tc>
          <w:tcPr/>
          <w:p>
            <w:pPr>
              <w:pStyle w:val="Compact"/>
            </w:pPr>
          </w:p>
        </w:tc>
      </w:tr>
      <w:tr>
        <w:tc>
          <w:tcPr>
            <w:gridSpan w:val="4"/>
          </w:tcPr>
          <w:p>
            <w:pPr>
              <w:pStyle w:val="Compact"/>
              <w:jc w:val="left"/>
            </w:pPr>
            <w:r>
              <w:t xml:space="preserve">TOTAL AMOUNT DUE (AED)</w:t>
            </w:r>
          </w:p>
        </w:tc>
        <w:tc>
          <w:tcPr/>
          <w:p>
            <w:pPr>
              <w:pStyle w:val="Compact"/>
              <w:jc w:val="left"/>
            </w:pPr>
            <w:r>
              <w:t xml:space="preserve">311,010.00</w:t>
            </w:r>
          </w:p>
        </w:tc>
        <w:tc>
          <w:tcPr/>
          <w:p>
            <w:pPr>
              <w:pStyle w:val="Compact"/>
            </w:pPr>
          </w:p>
        </w:tc>
      </w:tr>
    </w:tbl>
    <w:p>
      <w:pPr>
        <w:pStyle w:val="BodyText"/>
      </w:pPr>
      <w:r>
        <w:rPr>
          <w:bCs/>
          <w:b/>
        </w:rPr>
        <w:t xml:space="preserve">Note:</w:t>
      </w:r>
      <w:r>
        <w:t xml:space="preserve"> </w:t>
      </w:r>
      <w:r>
        <w:t xml:space="preserve">All monetary values in this Quotation Estimate are denominated in United Arab Emirates Dirhams (AED). The rates quoted are inclusive of the Chemical Engineer's professional fees, standard engineering software licenses, and local transportation within the Abu Dhabi metropolitan area. Any travel to other emirates or international locations will be billed separately at cost.</w:t>
      </w:r>
    </w:p>
    <w:p>
      <w:pPr>
        <w:pStyle w:val="BodyText"/>
      </w:pPr>
      <w:r>
        <w:t xml:space="preserve">3. Terms and Conditions</w:t>
      </w:r>
    </w:p>
    <w:p>
      <w:pPr>
        <w:numPr>
          <w:ilvl w:val="0"/>
          <w:numId w:val="1001"/>
        </w:numPr>
        <w:pStyle w:val="Compact"/>
      </w:pPr>
      <w:r>
        <w:t xml:space="preserve">This</w:t>
      </w:r>
      <w:r>
        <w:t xml:space="preserve"> </w:t>
      </w:r>
      <w:r>
        <w:t xml:space="preserve">Quotation Estimate</w:t>
      </w:r>
      <w:r>
        <w:t xml:space="preserve"> </w:t>
      </w:r>
      <w:r>
        <w:t xml:space="preserve">is valid for a period of thirty (30) calendar days from the date of issue. Beyond this period, pricing may be subject to revision based on market conditions in the</w:t>
      </w:r>
      <w:r>
        <w:t xml:space="preserve"> </w:t>
      </w:r>
      <w:r>
        <w:t xml:space="preserve">United Arab Emirates Abu Dhabi</w:t>
      </w:r>
      <w:r>
        <w:t xml:space="preserve"> </w:t>
      </w:r>
      <w:r>
        <w:t xml:space="preserve">engineering services sector.</w:t>
      </w:r>
    </w:p>
    <w:p>
      <w:pPr>
        <w:numPr>
          <w:ilvl w:val="0"/>
          <w:numId w:val="1001"/>
        </w:numPr>
        <w:pStyle w:val="Compact"/>
      </w:pPr>
      <w:r>
        <w:t xml:space="preserve">Payment terms: 40% advance upon acceptance of this Quotation Estimate, 40% upon completion of the HAZOP study and P&amp;ID deliverables, and 20% upon final acceptance of the technical report and regulatory submission.</w:t>
      </w:r>
    </w:p>
    <w:p>
      <w:pPr>
        <w:numPr>
          <w:ilvl w:val="0"/>
          <w:numId w:val="1001"/>
        </w:numPr>
        <w:pStyle w:val="Compact"/>
      </w:pPr>
      <w:r>
        <w:t xml:space="preserve">All invoices shall be payable within fourteen (14) calendar days of the invoice date via bank transfer to the account designated by Gulf Petrochemical Engineering Consultants LLC, Abu Dhabi, United Arab Emirates.</w:t>
      </w:r>
    </w:p>
    <w:p>
      <w:pPr>
        <w:numPr>
          <w:ilvl w:val="0"/>
          <w:numId w:val="1001"/>
        </w:numPr>
        <w:pStyle w:val="Compact"/>
      </w:pPr>
      <w:r>
        <w:t xml:space="preserve">The</w:t>
      </w:r>
      <w:r>
        <w:t xml:space="preserve"> </w:t>
      </w:r>
      <w:r>
        <w:t xml:space="preserve">Chemical Engineer</w:t>
      </w:r>
      <w:r>
        <w:t xml:space="preserve"> </w:t>
      </w:r>
      <w:r>
        <w:t xml:space="preserve">assigned to this project shall maintain full professional indemnity insurance with a minimum coverage of AED 5,000,000, valid throughout the duration of the engagement.</w:t>
      </w:r>
    </w:p>
    <w:p>
      <w:pPr>
        <w:numPr>
          <w:ilvl w:val="0"/>
          <w:numId w:val="1001"/>
        </w:numPr>
        <w:pStyle w:val="Compact"/>
      </w:pPr>
      <w:r>
        <w:t xml:space="preserve">Confidentiality: All data, drawings, and proprietary information exchanged during the course of this engagement shall be treated as strictly confidential. The Chemical Engineer and the consulting firm shall not disclose any client-specific information to third parties without prior written consent.</w:t>
      </w:r>
    </w:p>
    <w:p>
      <w:pPr>
        <w:numPr>
          <w:ilvl w:val="0"/>
          <w:numId w:val="1001"/>
        </w:numPr>
        <w:pStyle w:val="Compact"/>
      </w:pPr>
      <w:r>
        <w:t xml:space="preserve">Force Majeure: Neither party shall be held liable for delays or non-performance resulting from events beyond reasonable control, including but not limited to government-mandated shutdowns, natural disasters, or changes in UAE federal or Abu Dhabi emirate regulations.</w:t>
      </w:r>
    </w:p>
    <w:p>
      <w:pPr>
        <w:numPr>
          <w:ilvl w:val="0"/>
          <w:numId w:val="1001"/>
        </w:numPr>
        <w:pStyle w:val="Compact"/>
      </w:pPr>
      <w:r>
        <w:t xml:space="preserve">Dispute Resolution: Any disputes arising from this Quotation Estimate shall be resolved through amicable negotiation. Failing resolution within thirty (30) days, the matter shall be referred to arbitration under the rules of the Abu Dhabi Commercial Arbitration Centre (ADCA) in Abu Dhabi, United Arab Emirates.</w:t>
      </w:r>
    </w:p>
    <w:p>
      <w:pPr>
        <w:numPr>
          <w:ilvl w:val="0"/>
          <w:numId w:val="1001"/>
        </w:numPr>
        <w:pStyle w:val="Compact"/>
      </w:pPr>
      <w:r>
        <w:t xml:space="preserve">Intellectual Property: All engineering deliverables, reports, and designs produced under this engagement shall become the exclusive property of the client upon full and final payment.</w:t>
      </w:r>
    </w:p>
    <w:p>
      <w:pPr>
        <w:pStyle w:val="FirstParagraph"/>
      </w:pPr>
      <w:r>
        <w:t xml:space="preserve">4. Assumptions and Exclusions</w:t>
      </w:r>
    </w:p>
    <w:p>
      <w:pPr>
        <w:numPr>
          <w:ilvl w:val="0"/>
          <w:numId w:val="1002"/>
        </w:numPr>
        <w:pStyle w:val="Compact"/>
      </w:pPr>
      <w:r>
        <w:t xml:space="preserve">This Quotation Estimate assumes that the client will provide timely access to all relevant site areas, existing documentation, and operational data necessary for the Chemical Engineer to perform the scoped activities.</w:t>
      </w:r>
    </w:p>
    <w:p>
      <w:pPr>
        <w:numPr>
          <w:ilvl w:val="0"/>
          <w:numId w:val="1002"/>
        </w:numPr>
        <w:pStyle w:val="Compact"/>
      </w:pPr>
      <w:r>
        <w:t xml:space="preserve">Costs associated with third-party laboratory testing, government permit fees, and any civil or mechanical construction work are excluded from this estimate.</w:t>
      </w:r>
    </w:p>
    <w:p>
      <w:pPr>
        <w:numPr>
          <w:ilvl w:val="0"/>
          <w:numId w:val="1002"/>
        </w:numPr>
        <w:pStyle w:val="Compact"/>
      </w:pPr>
      <w:r>
        <w:t xml:space="preserve">Any scope changes or additional services requested by the client beyond the originally defined scope will be subject to a separate supplementary Quotation Estimate issued by the consulting firm.</w:t>
      </w:r>
    </w:p>
    <w:p>
      <w:pPr>
        <w:pStyle w:val="FirstParagraph"/>
      </w:pPr>
      <w:r>
        <w:t xml:space="preserve">Acceptance of Quotation Estimate</w:t>
      </w:r>
    </w:p>
    <w:p>
      <w:pPr>
        <w:pStyle w:val="BodyText"/>
      </w:pPr>
      <w:r>
        <w:t xml:space="preserve">By signing below, the client acknowledges and accepts the terms, conditions, and pricing outlined in this Quotation Estimate for the engagement of the Chemical Engineer in the United Arab Emirates Abu Dhabi. This signature constitutes a binding agreement between both parties effective from the date of the last signature.</w:t>
      </w:r>
    </w:p>
    <w:p>
      <w:pPr>
        <w:pStyle w:val="BodyText"/>
      </w:pPr>
      <w:r>
        <w:t xml:space="preserve">Client Authorized Signatory</w:t>
      </w:r>
    </w:p>
    <w:p>
      <w:pPr>
        <w:pStyle w:val="BodyText"/>
      </w:pPr>
      <w:r>
        <w:t xml:space="preserve">Name / Title / Date</w:t>
      </w:r>
    </w:p>
    <w:p>
      <w:pPr>
        <w:pStyle w:val="BodyText"/>
      </w:pPr>
      <w:r>
        <w:t xml:space="preserve">Gulf Petrochemical Engineering Consultants LLC</w:t>
      </w:r>
    </w:p>
    <w:p>
      <w:pPr>
        <w:pStyle w:val="BodyText"/>
      </w:pPr>
      <w:r>
        <w:t xml:space="preserve">Name / Title / Date</w:t>
      </w:r>
    </w:p>
    <w:p>
      <w:pPr>
        <w:pStyle w:val="BodyText"/>
      </w:pPr>
      <w:r>
        <w:t xml:space="preserve">Gulf Petrochemical Engineering Consultants LLC — Trade License No. AD-2019-88432 — Abu Dhabi, United Arab Emirates</w:t>
      </w:r>
    </w:p>
    <w:p>
      <w:pPr>
        <w:pStyle w:val="BodyText"/>
      </w:pPr>
      <w:r>
        <w:t xml:space="preserve">This Quotation Estimate is a confidential document intended solely for the named recipient. Unauthorized reproduction or distribution is prohibited.</w:t>
      </w:r>
    </w:p>
    <w:p>
      <w:pPr>
        <w:pStyle w:val="BodyText"/>
      </w:pPr>
      <w:r>
        <w:t xml:space="preserve">Page 1 of 1 — Generated: 15 June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Chemical Engineer Services - United Arab Emirates Abu Dhabi</dc:title>
  <dc:creator/>
  <dc:language>en</dc:language>
  <cp:keywords/>
  <dcterms:created xsi:type="dcterms:W3CDTF">2026-10-10T02:00:20Z</dcterms:created>
  <dcterms:modified xsi:type="dcterms:W3CDTF">2026-10-10T02:00:20Z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