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United Arab Emirates Dubai</w:t>
      </w:r>
    </w:p>
    <w:p>
      <w:pPr>
        <w:pStyle w:val="BodyText"/>
      </w:pPr>
      <w:r>
        <w:t xml:space="preserve">Document Reference: QE-CE-DXB-2025-0472</w:t>
      </w:r>
    </w:p>
    <w:bookmarkEnd w:id="20"/>
    <w:p>
      <w:pPr>
        <w:pStyle w:val="BodyText"/>
      </w:pPr>
      <w:r>
        <w:rPr>
          <w:bCs/>
          <w:b/>
        </w:rPr>
        <w:t xml:space="preserve">Prepared By:</w:t>
      </w:r>
      <w:r>
        <w:br/>
      </w:r>
      <w:r>
        <w:t xml:space="preserve">Gulf Petrochemical Engineering Consultants LLC</w:t>
      </w:r>
      <w:r>
        <w:br/>
      </w:r>
      <w:r>
        <w:t xml:space="preserve">Office 1204, Level 12, Al Futtaim Tower</w:t>
      </w:r>
      <w:r>
        <w:br/>
      </w:r>
      <w:r>
        <w:t xml:space="preserve">Sheikh Zayed Road, Dubai, United Arab Emirates</w:t>
      </w:r>
      <w:r>
        <w:br/>
      </w:r>
      <w:r>
        <w:t xml:space="preserve">Tel: +971 4 555 8821 | Email: quotations@gpce-dubai.ae</w:t>
      </w:r>
      <w:r>
        <w:br/>
      </w:r>
      <w:r>
        <w:t xml:space="preserve">Trade License No: 1048293</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UAE Dirham (AED)</w:t>
      </w:r>
      <w:r>
        <w:br/>
      </w:r>
      <w:r>
        <w:t xml:space="preserve">Project Location: Dubai, United Arab Emirates</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Emirates Advanced Manufacturing Industries FZE</w:t>
            </w:r>
          </w:p>
        </w:tc>
      </w:tr>
      <w:tr>
        <w:tc>
          <w:tcPr/>
          <w:p>
            <w:pPr>
              <w:pStyle w:val="Compact"/>
              <w:jc w:val="left"/>
            </w:pPr>
            <w:r>
              <w:t xml:space="preserve">Project Address</w:t>
            </w:r>
          </w:p>
        </w:tc>
        <w:tc>
          <w:tcPr/>
          <w:p>
            <w:pPr>
              <w:pStyle w:val="Compact"/>
              <w:jc w:val="left"/>
            </w:pPr>
            <w:r>
              <w:t xml:space="preserve">Plot 47, Jebel Ali Free Zone, Dubai, United Arab Emirates</w:t>
            </w:r>
          </w:p>
        </w:tc>
      </w:tr>
      <w:tr>
        <w:tc>
          <w:tcPr/>
          <w:p>
            <w:pPr>
              <w:pStyle w:val="Compact"/>
              <w:jc w:val="left"/>
            </w:pPr>
            <w:r>
              <w:t xml:space="preserve">Contact Person</w:t>
            </w:r>
          </w:p>
        </w:tc>
        <w:tc>
          <w:tcPr/>
          <w:p>
            <w:pPr>
              <w:pStyle w:val="Compact"/>
              <w:jc w:val="left"/>
            </w:pPr>
            <w:r>
              <w:t xml:space="preserve">Eng. Khalid Al Mansoori – Director of Operations</w:t>
            </w:r>
          </w:p>
        </w:tc>
      </w:tr>
      <w:tr>
        <w:tc>
          <w:tcPr/>
          <w:p>
            <w:pPr>
              <w:pStyle w:val="Compact"/>
              <w:jc w:val="left"/>
            </w:pPr>
            <w:r>
              <w:t xml:space="preserve">Project Reference</w:t>
            </w:r>
          </w:p>
        </w:tc>
        <w:tc>
          <w:tcPr/>
          <w:p>
            <w:pPr>
              <w:pStyle w:val="Compact"/>
              <w:jc w:val="left"/>
            </w:pPr>
            <w:r>
              <w:t xml:space="preserve">EAMI-JAFZ-2025-019</w:t>
            </w:r>
          </w:p>
        </w:tc>
      </w:tr>
    </w:tbl>
    <w:p>
      <w:pPr>
        <w:pStyle w:val="BodyText"/>
      </w:pPr>
      <w:r>
        <w:t xml:space="preserve">2. Scope of Work – Chemical Engineer Services</w:t>
      </w:r>
    </w:p>
    <w:p>
      <w:pPr>
        <w:pStyle w:val="BodyText"/>
      </w:pPr>
      <w:r>
        <w:t xml:space="preserve">This</w:t>
      </w:r>
      <w:r>
        <w:t xml:space="preserve"> </w:t>
      </w:r>
      <w:r>
        <w:t xml:space="preserve">Quotation Estimate</w:t>
      </w:r>
      <w:r>
        <w:t xml:space="preserve"> </w:t>
      </w:r>
      <w:r>
        <w:t xml:space="preserve">is issued by Gulf Petrochemical Engineering Consultants LLC to provide comprehensive</w:t>
      </w:r>
      <w:r>
        <w:t xml:space="preserve"> </w:t>
      </w:r>
      <w:r>
        <w:t xml:space="preserve">Chemical Engineer</w:t>
      </w:r>
      <w:r>
        <w:t xml:space="preserve"> </w:t>
      </w:r>
      <w:r>
        <w:t xml:space="preserve">professional services for the design, process optimization, and commissioning support of a new polymer production facility located in Jebel Ali Free Zone,</w:t>
      </w:r>
      <w:r>
        <w:t xml:space="preserve"> </w:t>
      </w:r>
      <w:r>
        <w:t xml:space="preserve">United Arab Emirates Dubai</w:t>
      </w:r>
      <w:r>
        <w:t xml:space="preserve">. The scope encompasses all engineering disciplines related to chemical process design, safety assessments, environmental compliance, and operational efficiency improvements as required by the client's project specifications.</w:t>
      </w:r>
    </w:p>
    <w:p>
      <w:pPr>
        <w:pStyle w:val="BodyText"/>
      </w:pPr>
      <w:r>
        <w:t xml:space="preserve">The</w:t>
      </w:r>
      <w:r>
        <w:t xml:space="preserve"> </w:t>
      </w:r>
      <w:r>
        <w:t xml:space="preserve">Chemical Engineer</w:t>
      </w:r>
      <w:r>
        <w:t xml:space="preserve"> </w:t>
      </w:r>
      <w:r>
        <w:t xml:space="preserve">team assigned to this project will operate in full compliance with the regulations set forth by the Dubai Municipality, the Department of Economic Development (DED) of Dubai, and the UAE Federal Environmental Authority. All deliverables will adhere to international standards including ASME, API, and ISO 9001:2015 quality management requirements applicable within the</w:t>
      </w:r>
      <w:r>
        <w:t xml:space="preserve"> </w:t>
      </w:r>
      <w:r>
        <w:t xml:space="preserve">United Arab Emirates Dubai</w:t>
      </w:r>
      <w:r>
        <w:t xml:space="preserve"> </w:t>
      </w:r>
      <w:r>
        <w:t xml:space="preserve">jurisdiction.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Chemical Engineer – Process Design &amp; P&amp;ID Development for polymer reactor system</w:t>
            </w:r>
          </w:p>
        </w:tc>
        <w:tc>
          <w:tcPr/>
          <w:p>
            <w:pPr>
              <w:pStyle w:val="Compact"/>
              <w:jc w:val="left"/>
            </w:pPr>
            <w:r>
              <w:t xml:space="preserve">45 working days</w:t>
            </w:r>
          </w:p>
        </w:tc>
        <w:tc>
          <w:tcPr/>
          <w:p>
            <w:pPr>
              <w:pStyle w:val="Compact"/>
              <w:jc w:val="left"/>
            </w:pPr>
            <w:r>
              <w:t xml:space="preserve">2,800 / day</w:t>
            </w:r>
          </w:p>
        </w:tc>
        <w:tc>
          <w:tcPr/>
          <w:p>
            <w:pPr>
              <w:pStyle w:val="Compact"/>
              <w:jc w:val="left"/>
            </w:pPr>
            <w:r>
              <w:t xml:space="preserve">126,000</w:t>
            </w:r>
          </w:p>
        </w:tc>
      </w:tr>
      <w:tr>
        <w:tc>
          <w:tcPr/>
          <w:p>
            <w:pPr>
              <w:pStyle w:val="Compact"/>
              <w:jc w:val="left"/>
            </w:pPr>
            <w:r>
              <w:t xml:space="preserve">2</w:t>
            </w:r>
          </w:p>
        </w:tc>
        <w:tc>
          <w:tcPr/>
          <w:p>
            <w:pPr>
              <w:pStyle w:val="Compact"/>
              <w:jc w:val="left"/>
            </w:pPr>
            <w:r>
              <w:t xml:space="preserve">Chemical Engineer – HAZOP Study &amp; Process Safety Assessment (PSA) for all unit operations</w:t>
            </w:r>
          </w:p>
        </w:tc>
        <w:tc>
          <w:tcPr/>
          <w:p>
            <w:pPr>
              <w:pStyle w:val="Compact"/>
              <w:jc w:val="left"/>
            </w:pPr>
            <w:r>
              <w:t xml:space="preserve">20 working days</w:t>
            </w:r>
          </w:p>
        </w:tc>
        <w:tc>
          <w:tcPr/>
          <w:p>
            <w:pPr>
              <w:pStyle w:val="Compact"/>
              <w:jc w:val="left"/>
            </w:pPr>
            <w:r>
              <w:t xml:space="preserve">2,500 / day</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Chemical Engineer – Heat &amp; Mass Transfer Calculations, Material Balance, and Energy Optimization</w:t>
            </w:r>
          </w:p>
        </w:tc>
        <w:tc>
          <w:tcPr/>
          <w:p>
            <w:pPr>
              <w:pStyle w:val="Compact"/>
              <w:jc w:val="left"/>
            </w:pPr>
            <w:r>
              <w:t xml:space="preserve">30 working days</w:t>
            </w:r>
          </w:p>
        </w:tc>
        <w:tc>
          <w:tcPr/>
          <w:p>
            <w:pPr>
              <w:pStyle w:val="Compact"/>
              <w:jc w:val="left"/>
            </w:pPr>
            <w:r>
              <w:t xml:space="preserve">2,200 / day</w:t>
            </w:r>
          </w:p>
        </w:tc>
        <w:tc>
          <w:tcPr/>
          <w:p>
            <w:pPr>
              <w:pStyle w:val="Compact"/>
              <w:jc w:val="left"/>
            </w:pPr>
            <w:r>
              <w:t xml:space="preserve">66,000</w:t>
            </w:r>
          </w:p>
        </w:tc>
      </w:tr>
      <w:tr>
        <w:tc>
          <w:tcPr/>
          <w:p>
            <w:pPr>
              <w:pStyle w:val="Compact"/>
              <w:jc w:val="left"/>
            </w:pPr>
            <w:r>
              <w:t xml:space="preserve">4</w:t>
            </w:r>
          </w:p>
        </w:tc>
        <w:tc>
          <w:tcPr/>
          <w:p>
            <w:pPr>
              <w:pStyle w:val="Compact"/>
              <w:jc w:val="left"/>
            </w:pPr>
            <w:r>
              <w:t xml:space="preserve">Junior Chemical Engineer – Piping &amp; Instrumentation Diagrams (P&amp;IDs), Equipment Sizing, and Vendor Data Sheets</w:t>
            </w:r>
          </w:p>
        </w:tc>
        <w:tc>
          <w:tcPr/>
          <w:p>
            <w:pPr>
              <w:pStyle w:val="Compact"/>
              <w:jc w:val="left"/>
            </w:pPr>
            <w:r>
              <w:t xml:space="preserve">60 working days</w:t>
            </w:r>
          </w:p>
        </w:tc>
        <w:tc>
          <w:tcPr/>
          <w:p>
            <w:pPr>
              <w:pStyle w:val="Compact"/>
              <w:jc w:val="left"/>
            </w:pPr>
            <w:r>
              <w:t xml:space="preserve">1,400 / day</w:t>
            </w:r>
          </w:p>
        </w:tc>
        <w:tc>
          <w:tcPr/>
          <w:p>
            <w:pPr>
              <w:pStyle w:val="Compact"/>
              <w:jc w:val="left"/>
            </w:pPr>
            <w:r>
              <w:t xml:space="preserve">84,000</w:t>
            </w:r>
          </w:p>
        </w:tc>
      </w:tr>
      <w:tr>
        <w:tc>
          <w:tcPr/>
          <w:p>
            <w:pPr>
              <w:pStyle w:val="Compact"/>
              <w:jc w:val="left"/>
            </w:pPr>
            <w:r>
              <w:t xml:space="preserve">5</w:t>
            </w:r>
          </w:p>
        </w:tc>
        <w:tc>
          <w:tcPr/>
          <w:p>
            <w:pPr>
              <w:pStyle w:val="Compact"/>
              <w:jc w:val="left"/>
            </w:pPr>
            <w:r>
              <w:t xml:space="preserve">Chemical Engineer – Environmental Impact Assessment (EIA) &amp; Dubai Municipality Permitting Support</w:t>
            </w:r>
          </w:p>
        </w:tc>
        <w:tc>
          <w:tcPr/>
          <w:p>
            <w:pPr>
              <w:pStyle w:val="Compact"/>
              <w:jc w:val="left"/>
            </w:pPr>
            <w:r>
              <w:t xml:space="preserve">25 working days</w:t>
            </w:r>
          </w:p>
        </w:tc>
        <w:tc>
          <w:tcPr/>
          <w:p>
            <w:pPr>
              <w:pStyle w:val="Compact"/>
              <w:jc w:val="left"/>
            </w:pPr>
            <w:r>
              <w:t xml:space="preserve">2,600 / day</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Chemical Engineer – Commissioning Support, Startup Supervision &amp; Performance Guarantee Testing</w:t>
            </w:r>
          </w:p>
        </w:tc>
        <w:tc>
          <w:tcPr/>
          <w:p>
            <w:pPr>
              <w:pStyle w:val="Compact"/>
              <w:jc w:val="left"/>
            </w:pPr>
            <w:r>
              <w:t xml:space="preserve">35 working days</w:t>
            </w:r>
          </w:p>
        </w:tc>
        <w:tc>
          <w:tcPr/>
          <w:p>
            <w:pPr>
              <w:pStyle w:val="Compact"/>
              <w:jc w:val="left"/>
            </w:pPr>
            <w:r>
              <w:t xml:space="preserve">2,400 / day</w:t>
            </w:r>
          </w:p>
        </w:tc>
        <w:tc>
          <w:tcPr/>
          <w:p>
            <w:pPr>
              <w:pStyle w:val="Compact"/>
              <w:jc w:val="left"/>
            </w:pPr>
            <w:r>
              <w:t xml:space="preserve">84,000</w:t>
            </w:r>
          </w:p>
        </w:tc>
      </w:tr>
      <w:tr>
        <w:tc>
          <w:tcPr/>
          <w:p>
            <w:pPr>
              <w:pStyle w:val="Compact"/>
              <w:jc w:val="left"/>
            </w:pPr>
            <w:r>
              <w:t xml:space="preserve">7</w:t>
            </w:r>
          </w:p>
        </w:tc>
        <w:tc>
          <w:tcPr/>
          <w:p>
            <w:pPr>
              <w:pStyle w:val="Compact"/>
              <w:jc w:val="left"/>
            </w:pPr>
            <w:r>
              <w:t xml:space="preserve">Project Management &amp; Coordination (Chemical Engineering Discipline Lead)</w:t>
            </w:r>
          </w:p>
        </w:tc>
        <w:tc>
          <w:tcPr/>
          <w:p>
            <w:pPr>
              <w:pStyle w:val="Compact"/>
              <w:jc w:val="left"/>
            </w:pPr>
            <w:r>
              <w:t xml:space="preserve">215 working days</w:t>
            </w:r>
          </w:p>
        </w:tc>
        <w:tc>
          <w:tcPr/>
          <w:p>
            <w:pPr>
              <w:pStyle w:val="Compact"/>
              <w:jc w:val="left"/>
            </w:pPr>
            <w:r>
              <w:t xml:space="preserve">1,800 / day</w:t>
            </w:r>
          </w:p>
        </w:tc>
        <w:tc>
          <w:tcPr/>
          <w:p>
            <w:pPr>
              <w:pStyle w:val="Compact"/>
              <w:jc w:val="left"/>
            </w:pPr>
            <w:r>
              <w:t xml:space="preserve">387,000</w:t>
            </w:r>
          </w:p>
        </w:tc>
      </w:tr>
      <w:tr>
        <w:tc>
          <w:tcPr/>
          <w:p>
            <w:pPr>
              <w:pStyle w:val="Compact"/>
              <w:jc w:val="left"/>
            </w:pPr>
            <w:r>
              <w:t xml:space="preserve">8</w:t>
            </w:r>
          </w:p>
        </w:tc>
        <w:tc>
          <w:tcPr/>
          <w:p>
            <w:pPr>
              <w:pStyle w:val="Compact"/>
              <w:jc w:val="left"/>
            </w:pPr>
            <w:r>
              <w:t xml:space="preserve">Software Licenses (Aspen Plus, HYSYS, AutoCAD P&amp;ID) – Annual Subscription for Project Duration</w:t>
            </w:r>
          </w:p>
        </w:tc>
        <w:tc>
          <w:tcPr/>
          <w:p>
            <w:pPr>
              <w:pStyle w:val="Compact"/>
              <w:jc w:val="left"/>
            </w:pPr>
            <w:r>
              <w:t xml:space="preserve">12 months</w:t>
            </w:r>
          </w:p>
        </w:tc>
        <w:tc>
          <w:tcPr/>
          <w:p>
            <w:pPr>
              <w:pStyle w:val="Compact"/>
              <w:jc w:val="left"/>
            </w:pPr>
            <w:r>
              <w:t xml:space="preserve">Flat</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Travel, Accommodation &amp; Per Diem for on-site presence at Jebel Ali Free Zone, Dubai</w:t>
            </w:r>
          </w:p>
        </w:tc>
        <w:tc>
          <w:tcPr/>
          <w:p>
            <w:pPr>
              <w:pStyle w:val="Compact"/>
              <w:jc w:val="left"/>
            </w:pPr>
            <w:r>
              <w:t xml:space="preserve">215 working days</w:t>
            </w:r>
          </w:p>
        </w:tc>
        <w:tc>
          <w:tcPr/>
          <w:p>
            <w:pPr>
              <w:pStyle w:val="Compact"/>
              <w:jc w:val="left"/>
            </w:pPr>
            <w:r>
              <w:t xml:space="preserve">Flat</w:t>
            </w:r>
          </w:p>
        </w:tc>
        <w:tc>
          <w:tcPr/>
          <w:p>
            <w:pPr>
              <w:pStyle w:val="Compact"/>
              <w:jc w:val="left"/>
            </w:pPr>
            <w:r>
              <w:t xml:space="preserve">52,000</w:t>
            </w:r>
          </w:p>
        </w:tc>
      </w:tr>
      <w:tr>
        <w:tc>
          <w:tcPr/>
          <w:p>
            <w:pPr>
              <w:pStyle w:val="Compact"/>
              <w:jc w:val="left"/>
            </w:pPr>
            <w:r>
              <w:t xml:space="preserve">10</w:t>
            </w:r>
          </w:p>
        </w:tc>
        <w:tc>
          <w:tcPr/>
          <w:p>
            <w:pPr>
              <w:pStyle w:val="Compact"/>
              <w:jc w:val="left"/>
            </w:pPr>
            <w:r>
              <w:t xml:space="preserve">Documentation, Report Printing, and Regulatory Submission Fees (UAE Dubai Authorities)</w:t>
            </w:r>
          </w:p>
        </w:tc>
        <w:tc>
          <w:tcPr/>
          <w:p>
            <w:pPr>
              <w:pStyle w:val="Compact"/>
              <w:jc w:val="left"/>
            </w:pPr>
            <w:r>
              <w:t xml:space="preserve">Flat</w:t>
            </w:r>
          </w:p>
        </w:tc>
        <w:tc>
          <w:tcPr/>
          <w:p>
            <w:pPr>
              <w:pStyle w:val="Compact"/>
              <w:jc w:val="left"/>
            </w:pPr>
            <w:r>
              <w:t xml:space="preserve">Flat</w:t>
            </w:r>
          </w:p>
        </w:tc>
        <w:tc>
          <w:tcPr/>
          <w:p>
            <w:pPr>
              <w:pStyle w:val="Compact"/>
              <w:jc w:val="left"/>
            </w:pPr>
            <w:r>
              <w:t xml:space="preserve">18,000</w:t>
            </w:r>
          </w:p>
        </w:tc>
      </w:tr>
      <w:tr>
        <w:tc>
          <w:tcPr>
            <w:gridSpan w:val="4"/>
          </w:tcPr>
          <w:p>
            <w:pPr>
              <w:pStyle w:val="Compact"/>
              <w:jc w:val="right"/>
            </w:pPr>
            <w:r>
              <w:t xml:space="preserve">Subtotal (AED)</w:t>
            </w:r>
          </w:p>
        </w:tc>
        <w:tc>
          <w:tcPr/>
          <w:p>
            <w:pPr>
              <w:pStyle w:val="Compact"/>
              <w:jc w:val="left"/>
            </w:pPr>
            <w:r>
              <w:t xml:space="preserve">980,000</w:t>
            </w:r>
          </w:p>
        </w:tc>
      </w:tr>
      <w:tr>
        <w:tc>
          <w:tcPr>
            <w:gridSpan w:val="4"/>
          </w:tcPr>
          <w:p>
            <w:pPr>
              <w:pStyle w:val="Compact"/>
              <w:jc w:val="right"/>
            </w:pPr>
            <w:r>
              <w:t xml:space="preserve">VAT @ 5% (UAE Federal Tax)</w:t>
            </w:r>
          </w:p>
        </w:tc>
        <w:tc>
          <w:tcPr/>
          <w:p>
            <w:pPr>
              <w:pStyle w:val="Compact"/>
              <w:jc w:val="left"/>
            </w:pPr>
            <w:r>
              <w:t xml:space="preserve">49,000</w:t>
            </w:r>
          </w:p>
        </w:tc>
      </w:tr>
      <w:tr>
        <w:tc>
          <w:tcPr>
            <w:gridSpan w:val="4"/>
          </w:tcPr>
          <w:p>
            <w:pPr>
              <w:pStyle w:val="Compact"/>
              <w:jc w:val="right"/>
            </w:pPr>
            <w:r>
              <w:t xml:space="preserve">TOTAL AMOUNT (AED)</w:t>
            </w:r>
          </w:p>
        </w:tc>
        <w:tc>
          <w:tcPr/>
          <w:p>
            <w:pPr>
              <w:pStyle w:val="Compact"/>
              <w:jc w:val="left"/>
            </w:pPr>
            <w:r>
              <w:t xml:space="preserve">1,029,000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 the</w:t>
      </w:r>
      <w:r>
        <w:t xml:space="preserve"> </w:t>
      </w:r>
      <w:r>
        <w:t xml:space="preserve">United Arab Emirates Dubai</w:t>
      </w:r>
      <w:r>
        <w:t xml:space="preserve"> </w:t>
      </w:r>
      <w:r>
        <w:t xml:space="preserve">engineering services sector.</w:t>
      </w:r>
    </w:p>
    <w:p>
      <w:pPr>
        <w:numPr>
          <w:ilvl w:val="0"/>
          <w:numId w:val="1001"/>
        </w:numPr>
        <w:pStyle w:val="Compact"/>
      </w:pPr>
      <w:r>
        <w:t xml:space="preserve">All</w:t>
      </w:r>
      <w:r>
        <w:t xml:space="preserve"> </w:t>
      </w:r>
      <w:r>
        <w:t xml:space="preserve">Chemical Engineer</w:t>
      </w:r>
      <w:r>
        <w:t xml:space="preserve"> </w:t>
      </w:r>
      <w:r>
        <w:t xml:space="preserve">personnel assigned to this project shall hold valid UAE professional licenses and meet the qualification requirements set by the Dubai Municipality and the relevant UAE regulatory bodies.</w:t>
      </w:r>
    </w:p>
    <w:p>
      <w:pPr>
        <w:numPr>
          <w:ilvl w:val="0"/>
          <w:numId w:val="1001"/>
        </w:numPr>
        <w:pStyle w:val="Compact"/>
      </w:pPr>
      <w:r>
        <w:t xml:space="preserve">Payment terms: 30% advance upon acceptance of this Quotation Estimate, 40% upon completion of detailed design phase, and 30% upon successful commissioning and handover. All payments shall be made via bank transfer to the account of Gulf Petrochemical Engineering Consultants LLC, Dubai, UAE.</w:t>
      </w:r>
    </w:p>
    <w:p>
      <w:pPr>
        <w:numPr>
          <w:ilvl w:val="0"/>
          <w:numId w:val="1001"/>
        </w:numPr>
        <w:pStyle w:val="Compact"/>
      </w:pPr>
      <w:r>
        <w:t xml:space="preserve">The</w:t>
      </w:r>
      <w:r>
        <w:t xml:space="preserve"> </w:t>
      </w:r>
      <w:r>
        <w:t xml:space="preserve">Chemical Engineer</w:t>
      </w:r>
      <w:r>
        <w:t xml:space="preserve"> </w:t>
      </w:r>
      <w:r>
        <w:t xml:space="preserve">team shall maintain full professional indemnity insurance with a minimum coverage of AED 5,000,000 throughout the project duration, as mandated for engineering consultants operating in the United Arab Emirates.</w:t>
      </w:r>
    </w:p>
    <w:p>
      <w:pPr>
        <w:numPr>
          <w:ilvl w:val="0"/>
          <w:numId w:val="1001"/>
        </w:numPr>
        <w:pStyle w:val="Compact"/>
      </w:pPr>
      <w:r>
        <w:t xml:space="preserve">Any changes to the scope of work beyond the parameters defined in this Quotation Estimate shall be subject to a formal variation order, mutually agreed upon in writing by both parties, with corresponding adjustments to cost and timeline.</w:t>
      </w:r>
    </w:p>
    <w:p>
      <w:pPr>
        <w:numPr>
          <w:ilvl w:val="0"/>
          <w:numId w:val="1001"/>
        </w:numPr>
        <w:pStyle w:val="Compact"/>
      </w:pPr>
      <w:r>
        <w:t xml:space="preserve">All intellectual property, process designs, and proprietary methodologies developed by the Chemical Engineer team during the course of this engagement shall remain the property of Gulf Petrochemical Engineering Consultants LLC unless otherwise stipulated in a separate license agreement.</w:t>
      </w:r>
    </w:p>
    <w:p>
      <w:pPr>
        <w:numPr>
          <w:ilvl w:val="0"/>
          <w:numId w:val="1001"/>
        </w:numPr>
        <w:pStyle w:val="Compact"/>
      </w:pPr>
      <w:r>
        <w:t xml:space="preserve">This Quotation Estimate is governed by the laws of the United Arab Emirates, and any disputes arising shall be resolved through arbitration in Dubai under the rules of the Dubai International Arbitration Centre (DIAC).</w:t>
      </w:r>
    </w:p>
    <w:p>
      <w:pPr>
        <w:numPr>
          <w:ilvl w:val="0"/>
          <w:numId w:val="1001"/>
        </w:numPr>
        <w:pStyle w:val="Compact"/>
      </w:pPr>
      <w:r>
        <w:t xml:space="preserve">The project timeline assumes timely provision of all client data, site access, and regulatory approvals. Delays attributable to the client or third-party authorities in the United Arab Emirates Dubai region shall extend the project schedule on a day-for-day basis without additional cost to the client.</w:t>
      </w:r>
    </w:p>
    <w:p>
      <w:pPr>
        <w:numPr>
          <w:ilvl w:val="0"/>
          <w:numId w:val="1001"/>
        </w:numPr>
        <w:pStyle w:val="Compact"/>
      </w:pPr>
      <w:r>
        <w:t xml:space="preserve">Confidentiality: Both parties agree to maintain strict confidentiality regarding all technical data, process parameters, and commercial information exchanged during the execution of this Quotation Estimate engagement.</w:t>
      </w:r>
    </w:p>
    <w:p>
      <w:pPr>
        <w:pStyle w:val="FirstParagraph"/>
      </w:pPr>
      <w:r>
        <w:t xml:space="preserve">5.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Chemical Engineer</w:t>
      </w:r>
      <w:r>
        <w:t xml:space="preserve"> </w:t>
      </w:r>
      <w:r>
        <w:t xml:space="preserve">services as described herein, and authorizes Gulf Petrochemical Engineering Consultants LLC to commence work in accordance with the stated terms, conditions, and project schedule within</w:t>
      </w:r>
      <w:r>
        <w:t xml:space="preserve"> </w:t>
      </w:r>
      <w:r>
        <w:t xml:space="preserve">United Arab Emirates Dubai</w:t>
      </w:r>
      <w:r>
        <w:t xml:space="preserve">.</w:t>
      </w:r>
    </w:p>
    <w:bookmarkStart w:id="21" w:name="X5ca17d5fb4e8610e4d88fdea44d902373509af8"/>
    <w:p>
      <w:pPr>
        <w:pStyle w:val="Heading4"/>
      </w:pPr>
      <w:r>
        <w:t xml:space="preserve">For Gulf Petrochemical Engineering Consultants LLC</w:t>
      </w:r>
    </w:p>
    <w:p>
      <w:pPr>
        <w:pStyle w:val="FirstParagraph"/>
      </w:pPr>
      <w:r>
        <w:t xml:space="preserve">Name: Eng. Sarah Al Farsi</w:t>
      </w:r>
    </w:p>
    <w:p>
      <w:pPr>
        <w:pStyle w:val="BodyText"/>
      </w:pPr>
      <w:r>
        <w:t xml:space="preserve">Title: Chief Chemical Engineer / Managing Director</w:t>
      </w:r>
    </w:p>
    <w:p>
      <w:pPr>
        <w:pStyle w:val="BodyText"/>
      </w:pPr>
      <w:r>
        <w:t xml:space="preserve">Date: ____________________</w:t>
      </w:r>
    </w:p>
    <w:p>
      <w:pPr>
        <w:pStyle w:val="BodyText"/>
      </w:pPr>
      <w:r>
        <w:t xml:space="preserve">Signature &amp; Company Stamp</w:t>
      </w:r>
    </w:p>
    <w:bookmarkEnd w:id="21"/>
    <w:bookmarkStart w:id="22" w:name="Xc06b2802a987dccf7ab0174488cfc0c991b28d6"/>
    <w:p>
      <w:pPr>
        <w:pStyle w:val="Heading4"/>
      </w:pPr>
      <w:r>
        <w:t xml:space="preserve">For Emirates Advanced Manufacturing Industries FZE</w:t>
      </w:r>
    </w:p>
    <w:p>
      <w:pPr>
        <w:pStyle w:val="FirstParagraph"/>
      </w:pPr>
      <w:r>
        <w:t xml:space="preserve">Name: Eng. Khalid Al Mansoori</w:t>
      </w:r>
    </w:p>
    <w:p>
      <w:pPr>
        <w:pStyle w:val="BodyText"/>
      </w:pPr>
      <w:r>
        <w:t xml:space="preserve">Title: Director of Operations</w:t>
      </w:r>
    </w:p>
    <w:p>
      <w:pPr>
        <w:pStyle w:val="BodyText"/>
      </w:pPr>
      <w:r>
        <w:t xml:space="preserve">Date: ____________________</w:t>
      </w:r>
    </w:p>
    <w:p>
      <w:pPr>
        <w:pStyle w:val="BodyText"/>
      </w:pPr>
      <w:r>
        <w:t xml:space="preserve">Signature &amp; Company Stamp</w:t>
      </w:r>
    </w:p>
    <w:bookmarkEnd w:id="22"/>
    <w:p>
      <w:pPr>
        <w:pStyle w:val="BodyText"/>
      </w:pPr>
      <w:r>
        <w:t xml:space="preserve">This Quotation Estimate document is the property of Gulf Petrochemical Engineering Consultants LLC, Dubai, United Arab Emirates.</w:t>
      </w:r>
    </w:p>
    <w:p>
      <w:pPr>
        <w:pStyle w:val="BodyText"/>
      </w:pPr>
      <w:r>
        <w:t xml:space="preserve">Document QE-CE-DXB-2025-0472 | Page 1 of 1 | Generated: 15 June 2025</w:t>
      </w:r>
    </w:p>
    <w:p>
      <w:pPr>
        <w:pStyle w:val="BodyText"/>
      </w:pPr>
      <w:r>
        <w:t xml:space="preserve">All services rendered in compliance with UAE Federal Law and Dubai Municipality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United Arab Emirates Dubai</dc:title>
  <dc:creator/>
  <dc:language>en</dc:language>
  <cp:keywords/>
  <dcterms:created xsi:type="dcterms:W3CDTF">2026-10-10T03:50:37Z</dcterms:created>
  <dcterms:modified xsi:type="dcterms:W3CDTF">2026-10-10T03:50:37Z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