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United States Houston, Texas 77002</w:t>
      </w:r>
    </w:p>
    <w:bookmarkEnd w:id="20"/>
    <w:p>
      <w:pPr>
        <w:pStyle w:val="BodyText"/>
      </w:pPr>
      <w:r>
        <w:rPr>
          <w:bCs/>
          <w:b/>
        </w:rPr>
        <w:t xml:space="preserve">Quotation No.:</w:t>
      </w:r>
      <w:r>
        <w:t xml:space="preserve"> </w:t>
      </w:r>
      <w:r>
        <w:t xml:space="preserve">QE-2025-04871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Gulf Coast Engineering Solutions LLC</w:t>
      </w:r>
    </w:p>
    <w:bookmarkStart w:id="21" w:name="parties-involved"/>
    <w:p>
      <w:pPr>
        <w:pStyle w:val="Heading2"/>
      </w:pPr>
      <w:r>
        <w:t xml:space="preserve">1. Parties Involved</w:t>
      </w:r>
    </w:p>
    <w:p>
      <w:pPr>
        <w:pStyle w:val="FirstParagraph"/>
      </w:pPr>
      <w:r>
        <w:t xml:space="preserve">Service Provider (Consultant):</w:t>
      </w:r>
    </w:p>
    <w:p>
      <w:pPr>
        <w:pStyle w:val="BodyText"/>
      </w:pPr>
      <w:r>
        <w:t xml:space="preserve">Gulf Coast Engineering Solutions LLC</w:t>
      </w:r>
      <w:r>
        <w:br/>
      </w:r>
      <w:r>
        <w:t xml:space="preserve">1200 Smith Street, Suite 4500</w:t>
      </w:r>
      <w:r>
        <w:br/>
      </w:r>
      <w:r>
        <w:t xml:space="preserve">United States Houston, Texas 77002</w:t>
      </w:r>
      <w:r>
        <w:br/>
      </w:r>
      <w:r>
        <w:t xml:space="preserve">Phone: (713) 555-0142</w:t>
      </w:r>
      <w:r>
        <w:br/>
      </w:r>
      <w:r>
        <w:t xml:space="preserve">Email: estimates@gulfcoasteng.com</w:t>
      </w:r>
      <w:r>
        <w:br/>
      </w:r>
      <w:r>
        <w:t xml:space="preserve">TX Professional License: PE-2019-44871</w:t>
      </w:r>
    </w:p>
    <w:p>
      <w:pPr>
        <w:pStyle w:val="BodyText"/>
      </w:pPr>
      <w:r>
        <w:t xml:space="preserve">Client / Requesting Party:</w:t>
      </w:r>
    </w:p>
    <w:p>
      <w:pPr>
        <w:pStyle w:val="BodyText"/>
      </w:pPr>
      <w:r>
        <w:t xml:space="preserve">Meridian Petrochemical Processing Corp.</w:t>
      </w:r>
      <w:r>
        <w:br/>
      </w:r>
      <w:r>
        <w:t xml:space="preserve">4500 Industrial Boulevard</w:t>
      </w:r>
      <w:r>
        <w:br/>
      </w:r>
      <w:r>
        <w:t xml:space="preserve">United States Houston, Texas 77029</w:t>
      </w:r>
      <w:r>
        <w:br/>
      </w:r>
      <w:r>
        <w:t xml:space="preserve">Attn: Mr. David R. Thompson, VP of Operations</w:t>
      </w:r>
      <w:r>
        <w:br/>
      </w:r>
      <w:r>
        <w:t xml:space="preserve">Phone: (713) 555-0387</w:t>
      </w:r>
      <w:r>
        <w:br/>
      </w:r>
      <w:r>
        <w:t xml:space="preserve">Email: d.thompson@meridianpetro.com</w:t>
      </w:r>
    </w:p>
    <w:bookmarkEnd w:id="21"/>
    <w:bookmarkStart w:id="22" w:name="scope-of-work-chemical-engineer-services"/>
    <w:p>
      <w:pPr>
        <w:pStyle w:val="Heading2"/>
      </w:pPr>
      <w:r>
        <w:t xml:space="preserve">2. Scope of Work – Chemical Engineer Services</w:t>
      </w:r>
    </w:p>
    <w:p>
      <w:pPr>
        <w:pStyle w:val="FirstParagraph"/>
      </w:pPr>
      <w:r>
        <w:t xml:space="preserve">This</w:t>
      </w:r>
      <w:r>
        <w:t xml:space="preserve"> </w:t>
      </w:r>
      <w:r>
        <w:t xml:space="preserve">Quotation Estimate</w:t>
      </w:r>
      <w:r>
        <w:t xml:space="preserve"> </w:t>
      </w:r>
      <w:r>
        <w:t xml:space="preserve">is issued by Gulf Coast Engineering Solutions LLC to provide comprehensive</w:t>
      </w:r>
      <w:r>
        <w:t xml:space="preserve"> </w:t>
      </w:r>
      <w:r>
        <w:t xml:space="preserve">Chemical Engineer</w:t>
      </w:r>
      <w:r>
        <w:t xml:space="preserve"> </w:t>
      </w:r>
      <w:r>
        <w:t xml:space="preserve">consulting services for Meridian Petrochemical Processing Corp. The engagement is based in and will be performed primarily in</w:t>
      </w:r>
      <w:r>
        <w:t xml:space="preserve"> </w:t>
      </w:r>
      <w:r>
        <w:t xml:space="preserve">United States Houston</w:t>
      </w:r>
      <w:r>
        <w:t xml:space="preserve">, Texas, and its surrounding industrial corridor. The scope encompasses the following deliverables:</w:t>
      </w:r>
    </w:p>
    <w:p>
      <w:pPr>
        <w:numPr>
          <w:ilvl w:val="0"/>
          <w:numId w:val="1001"/>
        </w:numPr>
        <w:pStyle w:val="Compact"/>
      </w:pPr>
      <w:r>
        <w:t xml:space="preserve">Process design review and optimization for the existing ethylene oxide production unit at the client's</w:t>
      </w:r>
      <w:r>
        <w:t xml:space="preserve"> </w:t>
      </w:r>
      <w:r>
        <w:t xml:space="preserve">United States Houston</w:t>
      </w:r>
      <w:r>
        <w:t xml:space="preserve"> </w:t>
      </w:r>
      <w:r>
        <w:t xml:space="preserve">facility.</w:t>
      </w:r>
    </w:p>
    <w:p>
      <w:pPr>
        <w:numPr>
          <w:ilvl w:val="0"/>
          <w:numId w:val="1001"/>
        </w:numPr>
        <w:pStyle w:val="Compact"/>
      </w:pPr>
      <w:r>
        <w:t xml:space="preserve">Thermodynamic and reaction kinetics modeling to improve yield by an estimated 4–6 percent.</w:t>
      </w:r>
    </w:p>
    <w:p>
      <w:pPr>
        <w:numPr>
          <w:ilvl w:val="0"/>
          <w:numId w:val="1001"/>
        </w:numPr>
        <w:pStyle w:val="Compact"/>
      </w:pPr>
      <w:r>
        <w:t xml:space="preserve">Preparation of a detailed Process Safety Hazard Analysis (PSHA) in compliance with OSHA 29 CFR 1910.119 and EPA RMP regulations applicable to</w:t>
      </w:r>
      <w:r>
        <w:t xml:space="preserve"> </w:t>
      </w:r>
      <w:r>
        <w:t xml:space="preserve">United States Houston</w:t>
      </w:r>
      <w:r>
        <w:t xml:space="preserve"> </w:t>
      </w:r>
      <w:r>
        <w:t xml:space="preserve">operations.</w:t>
      </w:r>
    </w:p>
    <w:p>
      <w:pPr>
        <w:numPr>
          <w:ilvl w:val="0"/>
          <w:numId w:val="1001"/>
        </w:numPr>
        <w:pStyle w:val="Compact"/>
      </w:pPr>
      <w:r>
        <w:t xml:space="preserve">Development of a capital expenditure (CAPEX) plan for the proposed 12,000 BPD capacity expansion, including equipment sizing, P&amp;ID development, and materials selection.</w:t>
      </w:r>
    </w:p>
    <w:p>
      <w:pPr>
        <w:numPr>
          <w:ilvl w:val="0"/>
          <w:numId w:val="1001"/>
        </w:numPr>
        <w:pStyle w:val="Compact"/>
      </w:pPr>
      <w:r>
        <w:t xml:space="preserve">On-site technical supervision and commissioning support for a period of six (6) weeks at the</w:t>
      </w:r>
      <w:r>
        <w:t xml:space="preserve"> </w:t>
      </w:r>
      <w:r>
        <w:t xml:space="preserve">United States Houston</w:t>
      </w:r>
      <w:r>
        <w:t xml:space="preserve"> </w:t>
      </w:r>
      <w:r>
        <w:t xml:space="preserve">plant location.</w:t>
      </w:r>
    </w:p>
    <w:p>
      <w:pPr>
        <w:numPr>
          <w:ilvl w:val="0"/>
          <w:numId w:val="1001"/>
        </w:numPr>
        <w:pStyle w:val="Compact"/>
      </w:pPr>
      <w:r>
        <w:t xml:space="preserve">Preparation of a final engineering report with all calculations, assumptions, and recommendations for the client's board of directors.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Chemical Engineer – Process Design Review &amp; Optimization (Senior PE, 25+ yrs)</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4 weeks</w:t>
            </w:r>
          </w:p>
        </w:tc>
      </w:tr>
      <w:tr>
        <w:tc>
          <w:tcPr/>
          <w:p>
            <w:pPr>
              <w:pStyle w:val="Compact"/>
              <w:jc w:val="left"/>
            </w:pPr>
            <w:r>
              <w:t xml:space="preserve">2</w:t>
            </w:r>
          </w:p>
        </w:tc>
        <w:tc>
          <w:tcPr/>
          <w:p>
            <w:pPr>
              <w:pStyle w:val="Compact"/>
              <w:jc w:val="left"/>
            </w:pPr>
            <w:r>
              <w:t xml:space="preserve">Chemical Engineer – Thermodynamic &amp; Kinetics Modeling (HYSYS / Aspen Plus)</w:t>
            </w:r>
          </w:p>
        </w:tc>
        <w:tc>
          <w:tcPr/>
          <w:p>
            <w:pPr>
              <w:pStyle w:val="Compact"/>
              <w:jc w:val="left"/>
            </w:pPr>
            <w:r>
              <w:t xml:space="preserve">80 hrs</w:t>
            </w:r>
          </w:p>
        </w:tc>
        <w:tc>
          <w:tcPr/>
          <w:p>
            <w:pPr>
              <w:pStyle w:val="Compact"/>
              <w:jc w:val="left"/>
            </w:pPr>
            <w:r>
              <w:t xml:space="preserve">$265.00</w:t>
            </w:r>
          </w:p>
        </w:tc>
        <w:tc>
          <w:tcPr/>
          <w:p>
            <w:pPr>
              <w:pStyle w:val="Compact"/>
              <w:jc w:val="left"/>
            </w:pPr>
            <w:r>
              <w:t xml:space="preserve">$21,200.00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Process Safety Hazard Analysis (PSHA) – OSHA / EPA Compliance for United States Houston Site</w:t>
            </w:r>
          </w:p>
        </w:tc>
        <w:tc>
          <w:tcPr/>
          <w:p>
            <w:pPr>
              <w:pStyle w:val="Compact"/>
              <w:jc w:val="left"/>
            </w:pPr>
            <w:r>
              <w:t xml:space="preserve">60 hrs</w:t>
            </w:r>
          </w:p>
        </w:tc>
        <w:tc>
          <w:tcPr/>
          <w:p>
            <w:pPr>
              <w:pStyle w:val="Compact"/>
              <w:jc w:val="left"/>
            </w:pPr>
            <w:r>
              <w:t xml:space="preserve">$310.00</w:t>
            </w:r>
          </w:p>
        </w:tc>
        <w:tc>
          <w:tcPr/>
          <w:p>
            <w:pPr>
              <w:pStyle w:val="Compact"/>
              <w:jc w:val="left"/>
            </w:pPr>
            <w:r>
              <w:t xml:space="preserve">$18,600.00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CAPEX Planning, P&amp;ID Development &amp; Equipment Sizing for 12,000 BPD Expansion</w:t>
            </w:r>
          </w:p>
        </w:tc>
        <w:tc>
          <w:tcPr/>
          <w:p>
            <w:pPr>
              <w:pStyle w:val="Compact"/>
              <w:jc w:val="left"/>
            </w:pPr>
            <w:r>
              <w:t xml:space="preserve">100 hrs</w:t>
            </w:r>
          </w:p>
        </w:tc>
        <w:tc>
          <w:tcPr/>
          <w:p>
            <w:pPr>
              <w:pStyle w:val="Compact"/>
              <w:jc w:val="left"/>
            </w:pPr>
            <w:r>
              <w:t xml:space="preserve">$275.00</w:t>
            </w:r>
          </w:p>
        </w:tc>
        <w:tc>
          <w:tcPr/>
          <w:p>
            <w:pPr>
              <w:pStyle w:val="Compact"/>
              <w:jc w:val="left"/>
            </w:pPr>
            <w:r>
              <w:t xml:space="preserve">$27,500.00</w:t>
            </w:r>
          </w:p>
        </w:tc>
        <w:tc>
          <w:tcPr/>
          <w:p>
            <w:pPr>
              <w:pStyle w:val="Compact"/>
              <w:jc w:val="left"/>
            </w:pPr>
            <w:r>
              <w:t xml:space="preserve">4 weeks</w:t>
            </w:r>
          </w:p>
        </w:tc>
      </w:tr>
      <w:tr>
        <w:tc>
          <w:tcPr/>
          <w:p>
            <w:pPr>
              <w:pStyle w:val="Compact"/>
              <w:jc w:val="left"/>
            </w:pPr>
            <w:r>
              <w:t xml:space="preserve">5</w:t>
            </w:r>
          </w:p>
        </w:tc>
        <w:tc>
          <w:tcPr/>
          <w:p>
            <w:pPr>
              <w:pStyle w:val="Compact"/>
              <w:jc w:val="left"/>
            </w:pPr>
            <w:r>
              <w:t xml:space="preserve">On-Site Commissioning &amp; Technical Supervision – United States Houston Plant</w:t>
            </w:r>
          </w:p>
        </w:tc>
        <w:tc>
          <w:tcPr/>
          <w:p>
            <w:pPr>
              <w:pStyle w:val="Compact"/>
              <w:jc w:val="left"/>
            </w:pPr>
            <w:r>
              <w:t xml:space="preserve">240 hrs</w:t>
            </w:r>
          </w:p>
        </w:tc>
        <w:tc>
          <w:tcPr/>
          <w:p>
            <w:pPr>
              <w:pStyle w:val="Compact"/>
              <w:jc w:val="left"/>
            </w:pPr>
            <w:r>
              <w:t xml:space="preserve">$245.00</w:t>
            </w:r>
          </w:p>
        </w:tc>
        <w:tc>
          <w:tcPr/>
          <w:p>
            <w:pPr>
              <w:pStyle w:val="Compact"/>
              <w:jc w:val="left"/>
            </w:pPr>
            <w:r>
              <w:t xml:space="preserve">$58,800.00</w:t>
            </w:r>
          </w:p>
        </w:tc>
        <w:tc>
          <w:tcPr/>
          <w:p>
            <w:pPr>
              <w:pStyle w:val="Compact"/>
              <w:jc w:val="left"/>
            </w:pPr>
            <w:r>
              <w:t xml:space="preserve">6 weeks</w:t>
            </w:r>
          </w:p>
        </w:tc>
      </w:tr>
      <w:tr>
        <w:tc>
          <w:tcPr/>
          <w:p>
            <w:pPr>
              <w:pStyle w:val="Compact"/>
              <w:jc w:val="left"/>
            </w:pPr>
            <w:r>
              <w:t xml:space="preserve">6</w:t>
            </w:r>
          </w:p>
        </w:tc>
        <w:tc>
          <w:tcPr/>
          <w:p>
            <w:pPr>
              <w:pStyle w:val="Compact"/>
              <w:jc w:val="left"/>
            </w:pPr>
            <w:r>
              <w:t xml:space="preserve">Final Engineering Report, Documentation &amp; Board Presentation</w:t>
            </w:r>
          </w:p>
        </w:tc>
        <w:tc>
          <w:tcPr/>
          <w:p>
            <w:pPr>
              <w:pStyle w:val="Compact"/>
              <w:jc w:val="left"/>
            </w:pPr>
            <w:r>
              <w:t xml:space="preserve">40 hrs</w:t>
            </w:r>
          </w:p>
        </w:tc>
        <w:tc>
          <w:tcPr/>
          <w:p>
            <w:pPr>
              <w:pStyle w:val="Compact"/>
              <w:jc w:val="left"/>
            </w:pPr>
            <w:r>
              <w:t xml:space="preserve">$295.00</w:t>
            </w:r>
          </w:p>
        </w:tc>
        <w:tc>
          <w:tcPr/>
          <w:p>
            <w:pPr>
              <w:pStyle w:val="Compact"/>
              <w:jc w:val="left"/>
            </w:pPr>
            <w:r>
              <w:t xml:space="preserve">$11,800.00</w:t>
            </w:r>
          </w:p>
        </w:tc>
        <w:tc>
          <w:tcPr/>
          <w:p>
            <w:pPr>
              <w:pStyle w:val="Compact"/>
              <w:jc w:val="left"/>
            </w:pPr>
            <w:r>
              <w:t xml:space="preserve">2 weeks</w:t>
            </w:r>
          </w:p>
        </w:tc>
      </w:tr>
      <w:tr>
        <w:tc>
          <w:tcPr/>
          <w:p>
            <w:pPr>
              <w:pStyle w:val="Compact"/>
              <w:jc w:val="left"/>
            </w:pPr>
            <w:r>
              <w:t xml:space="preserve">7</w:t>
            </w:r>
          </w:p>
        </w:tc>
        <w:tc>
          <w:tcPr/>
          <w:p>
            <w:pPr>
              <w:pStyle w:val="Compact"/>
              <w:jc w:val="left"/>
            </w:pPr>
            <w:r>
              <w:t xml:space="preserve">Travel, Lodging &amp; Per Diem – United States Houston Area (6 weeks on-site)</w:t>
            </w:r>
          </w:p>
        </w:tc>
        <w:tc>
          <w:tcPr/>
          <w:p>
            <w:pPr>
              <w:pStyle w:val="Compact"/>
              <w:jc w:val="left"/>
            </w:pPr>
            <w:r>
              <w:t xml:space="preserve">42 days</w:t>
            </w:r>
          </w:p>
        </w:tc>
        <w:tc>
          <w:tcPr/>
          <w:p>
            <w:pPr>
              <w:pStyle w:val="Compact"/>
              <w:jc w:val="left"/>
            </w:pPr>
            <w:r>
              <w:t xml:space="preserve">$185.00</w:t>
            </w:r>
          </w:p>
        </w:tc>
        <w:tc>
          <w:tcPr/>
          <w:p>
            <w:pPr>
              <w:pStyle w:val="Compact"/>
              <w:jc w:val="left"/>
            </w:pPr>
            <w:r>
              <w:t xml:space="preserve">$7,770.00</w:t>
            </w:r>
          </w:p>
        </w:tc>
        <w:tc>
          <w:tcPr/>
          <w:p>
            <w:pPr>
              <w:pStyle w:val="Compact"/>
              <w:jc w:val="left"/>
            </w:pPr>
            <w:r>
              <w:t xml:space="preserve">6 weeks</w:t>
            </w:r>
          </w:p>
        </w:tc>
      </w:tr>
      <w:tr>
        <w:tc>
          <w:tcPr/>
          <w:p>
            <w:pPr>
              <w:pStyle w:val="Compact"/>
              <w:jc w:val="left"/>
            </w:pPr>
            <w:r>
              <w:t xml:space="preserve">8</w:t>
            </w:r>
          </w:p>
        </w:tc>
        <w:tc>
          <w:tcPr/>
          <w:p>
            <w:pPr>
              <w:pStyle w:val="Compact"/>
              <w:jc w:val="left"/>
            </w:pPr>
            <w:r>
              <w:t xml:space="preserve">Software Licensing (Aspen Plus, HYSYS) &amp; Computational Resources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N/A</w:t>
            </w:r>
          </w:p>
        </w:tc>
      </w:tr>
      <w:tr>
        <w:tc>
          <w:tcPr>
            <w:gridSpan w:val="4"/>
          </w:tcPr>
          <w:p>
            <w:pPr>
              <w:pStyle w:val="Compact"/>
              <w:jc w:val="left"/>
            </w:pPr>
            <w:r>
              <w:t xml:space="preserve">Subtotal</w:t>
            </w:r>
          </w:p>
        </w:tc>
        <w:tc>
          <w:tcPr/>
          <w:p>
            <w:pPr>
              <w:pStyle w:val="Compact"/>
              <w:jc w:val="left"/>
            </w:pPr>
            <w:r>
              <w:t xml:space="preserve">$184,370.00</w:t>
            </w:r>
          </w:p>
        </w:tc>
        <w:tc>
          <w:tcPr/>
          <w:p>
            <w:pPr>
              <w:pStyle w:val="Compact"/>
            </w:pPr>
          </w:p>
        </w:tc>
      </w:tr>
      <w:tr>
        <w:tc>
          <w:tcPr>
            <w:gridSpan w:val="4"/>
          </w:tcPr>
          <w:p>
            <w:pPr>
              <w:pStyle w:val="Compact"/>
              <w:jc w:val="left"/>
            </w:pPr>
            <w:r>
              <w:t xml:space="preserve">Applicable Texas Sales &amp; Service Tax (8.25%)</w:t>
            </w:r>
          </w:p>
        </w:tc>
        <w:tc>
          <w:tcPr/>
          <w:p>
            <w:pPr>
              <w:pStyle w:val="Compact"/>
              <w:jc w:val="left"/>
            </w:pPr>
            <w:r>
              <w:t xml:space="preserve">$15,210.53</w:t>
            </w:r>
          </w:p>
        </w:tc>
        <w:tc>
          <w:tcPr/>
          <w:p>
            <w:pPr>
              <w:pStyle w:val="Compact"/>
            </w:pPr>
          </w:p>
        </w:tc>
      </w:tr>
      <w:tr>
        <w:tc>
          <w:tcPr>
            <w:gridSpan w:val="4"/>
          </w:tcPr>
          <w:p>
            <w:pPr>
              <w:pStyle w:val="Compact"/>
              <w:jc w:val="left"/>
            </w:pPr>
            <w:r>
              <w:rPr>
                <w:bCs/>
                <w:b/>
              </w:rPr>
              <w:t xml:space="preserve">TOTAL ESTIMATED COST (USD)</w:t>
            </w:r>
          </w:p>
        </w:tc>
        <w:tc>
          <w:tcPr/>
          <w:p>
            <w:pPr>
              <w:pStyle w:val="Compact"/>
              <w:jc w:val="left"/>
            </w:pPr>
            <w:r>
              <w:rPr>
                <w:bCs/>
                <w:b/>
              </w:rPr>
              <w:t xml:space="preserve">$199,580.53</w:t>
            </w:r>
          </w:p>
        </w:tc>
        <w:tc>
          <w:tcPr/>
          <w:p>
            <w:pPr>
              <w:pStyle w:val="Compact"/>
            </w:pP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20%</w:t>
            </w:r>
          </w:p>
        </w:tc>
        <w:tc>
          <w:tcPr/>
          <w:p>
            <w:pPr>
              <w:pStyle w:val="Compact"/>
              <w:jc w:val="left"/>
            </w:pPr>
            <w:r>
              <w:t xml:space="preserve">$39,916.11</w:t>
            </w:r>
          </w:p>
        </w:tc>
        <w:tc>
          <w:tcPr/>
          <w:p>
            <w:pPr>
              <w:pStyle w:val="Compact"/>
              <w:jc w:val="left"/>
            </w:pPr>
            <w:r>
              <w:t xml:space="preserve">Upon signature</w:t>
            </w:r>
          </w:p>
        </w:tc>
      </w:tr>
      <w:tr>
        <w:tc>
          <w:tcPr/>
          <w:p>
            <w:pPr>
              <w:pStyle w:val="Compact"/>
              <w:jc w:val="left"/>
            </w:pPr>
            <w:r>
              <w:t xml:space="preserve">Completion of Process Design Review &amp; PSHA</w:t>
            </w:r>
          </w:p>
        </w:tc>
        <w:tc>
          <w:tcPr/>
          <w:p>
            <w:pPr>
              <w:pStyle w:val="Compact"/>
              <w:jc w:val="left"/>
            </w:pPr>
            <w:r>
              <w:t xml:space="preserve">25%</w:t>
            </w:r>
          </w:p>
        </w:tc>
        <w:tc>
          <w:tcPr/>
          <w:p>
            <w:pPr>
              <w:pStyle w:val="Compact"/>
              <w:jc w:val="left"/>
            </w:pPr>
            <w:r>
              <w:t xml:space="preserve">$49,895.13</w:t>
            </w:r>
          </w:p>
        </w:tc>
        <w:tc>
          <w:tcPr/>
          <w:p>
            <w:pPr>
              <w:pStyle w:val="Compact"/>
              <w:jc w:val="left"/>
            </w:pPr>
            <w:r>
              <w:t xml:space="preserve">Week 8</w:t>
            </w:r>
          </w:p>
        </w:tc>
      </w:tr>
      <w:tr>
        <w:tc>
          <w:tcPr/>
          <w:p>
            <w:pPr>
              <w:pStyle w:val="Compact"/>
              <w:jc w:val="left"/>
            </w:pPr>
            <w:r>
              <w:t xml:space="preserve">Completion of CAPEX Plan &amp; P&amp;IDs</w:t>
            </w:r>
          </w:p>
        </w:tc>
        <w:tc>
          <w:tcPr/>
          <w:p>
            <w:pPr>
              <w:pStyle w:val="Compact"/>
              <w:jc w:val="left"/>
            </w:pPr>
            <w:r>
              <w:t xml:space="preserve">25%</w:t>
            </w:r>
          </w:p>
        </w:tc>
        <w:tc>
          <w:tcPr/>
          <w:p>
            <w:pPr>
              <w:pStyle w:val="Compact"/>
              <w:jc w:val="left"/>
            </w:pPr>
            <w:r>
              <w:t xml:space="preserve">$49,895.13</w:t>
            </w:r>
          </w:p>
        </w:tc>
        <w:tc>
          <w:tcPr/>
          <w:p>
            <w:pPr>
              <w:pStyle w:val="Compact"/>
              <w:jc w:val="left"/>
            </w:pPr>
            <w:r>
              <w:t xml:space="preserve">Week 12</w:t>
            </w:r>
          </w:p>
        </w:tc>
      </w:tr>
      <w:tr>
        <w:tc>
          <w:tcPr/>
          <w:p>
            <w:pPr>
              <w:pStyle w:val="Compact"/>
              <w:jc w:val="left"/>
            </w:pPr>
            <w:r>
              <w:t xml:space="preserve">Commissioning Support &amp; Final Report Delivery</w:t>
            </w:r>
          </w:p>
        </w:tc>
        <w:tc>
          <w:tcPr/>
          <w:p>
            <w:pPr>
              <w:pStyle w:val="Compact"/>
              <w:jc w:val="left"/>
            </w:pPr>
            <w:r>
              <w:t xml:space="preserve">30%</w:t>
            </w:r>
          </w:p>
        </w:tc>
        <w:tc>
          <w:tcPr/>
          <w:p>
            <w:pPr>
              <w:pStyle w:val="Compact"/>
              <w:jc w:val="left"/>
            </w:pPr>
            <w:r>
              <w:t xml:space="preserve">$59,874.16</w:t>
            </w:r>
          </w:p>
        </w:tc>
        <w:tc>
          <w:tcPr/>
          <w:p>
            <w:pPr>
              <w:pStyle w:val="Compact"/>
              <w:jc w:val="left"/>
            </w:pPr>
            <w:r>
              <w:t xml:space="preserve">Week 18</w:t>
            </w:r>
          </w:p>
        </w:tc>
      </w:tr>
    </w:tbl>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and availability of the</w:t>
      </w:r>
      <w:r>
        <w:t xml:space="preserve"> </w:t>
      </w:r>
      <w:r>
        <w:t xml:space="preserve">Chemical Engineer</w:t>
      </w:r>
      <w:r>
        <w:t xml:space="preserve"> </w:t>
      </w:r>
      <w:r>
        <w:t xml:space="preserve">team are subject to re-evaluation.</w:t>
      </w:r>
    </w:p>
    <w:p>
      <w:pPr>
        <w:numPr>
          <w:ilvl w:val="0"/>
          <w:numId w:val="1002"/>
        </w:numPr>
        <w:pStyle w:val="Compact"/>
      </w:pPr>
      <w:r>
        <w:t xml:space="preserve">All services will be performed in accordance with the professional standards of the Texas Board of Professional Engineers, Land Surveyors, and Geologists, and all applicable federal and state regulations governing chemical engineering practice in</w:t>
      </w:r>
      <w:r>
        <w:t xml:space="preserve"> </w:t>
      </w:r>
      <w:r>
        <w:t xml:space="preserve">United States Houston</w:t>
      </w:r>
      <w:r>
        <w:t xml:space="preserve">.</w:t>
      </w:r>
    </w:p>
    <w:p>
      <w:pPr>
        <w:numPr>
          <w:ilvl w:val="0"/>
          <w:numId w:val="1002"/>
        </w:numPr>
        <w:pStyle w:val="Compact"/>
      </w:pPr>
      <w:r>
        <w:t xml:space="preserve">The</w:t>
      </w:r>
      <w:r>
        <w:t xml:space="preserve"> </w:t>
      </w:r>
      <w:r>
        <w:t xml:space="preserve">Chemical Engineer</w:t>
      </w:r>
      <w:r>
        <w:t xml:space="preserve"> </w:t>
      </w:r>
      <w:r>
        <w:t xml:space="preserve">of record (PE License TX-2019-44871) shall personally oversee all critical design calculations and sign off on all stamped drawings and reports.</w:t>
      </w:r>
    </w:p>
    <w:p>
      <w:pPr>
        <w:numPr>
          <w:ilvl w:val="0"/>
          <w:numId w:val="1002"/>
        </w:numPr>
        <w:pStyle w:val="Compact"/>
      </w:pPr>
      <w:r>
        <w:t xml:space="preserve">Client is responsible for providing safe access to the</w:t>
      </w:r>
      <w:r>
        <w:t xml:space="preserve"> </w:t>
      </w:r>
      <w:r>
        <w:t xml:space="preserve">United States Houston</w:t>
      </w:r>
      <w:r>
        <w:t xml:space="preserve"> </w:t>
      </w:r>
      <w:r>
        <w:t xml:space="preserve">facility, all necessary process data, historical operating records, and any third-party vendor documentation required for the scope of work.</w:t>
      </w:r>
    </w:p>
    <w:p>
      <w:pPr>
        <w:numPr>
          <w:ilvl w:val="0"/>
          <w:numId w:val="1002"/>
        </w:numPr>
        <w:pStyle w:val="Compact"/>
      </w:pPr>
      <w:r>
        <w:t xml:space="preserve">Any change in scope exceeding ten percent (10%) of the original estimate will require a written change order signed by both parties before additional work commences.</w:t>
      </w:r>
    </w:p>
    <w:p>
      <w:pPr>
        <w:numPr>
          <w:ilvl w:val="0"/>
          <w:numId w:val="1002"/>
        </w:numPr>
        <w:pStyle w:val="Compact"/>
      </w:pPr>
      <w:r>
        <w:t xml:space="preserve">Payment terms are Net 30 days from invoice date. Late payments shall accrue interest at 1.5% per month.</w:t>
      </w:r>
    </w:p>
    <w:p>
      <w:pPr>
        <w:numPr>
          <w:ilvl w:val="0"/>
          <w:numId w:val="1002"/>
        </w:numPr>
        <w:pStyle w:val="Compact"/>
      </w:pPr>
      <w:r>
        <w:t xml:space="preserve">All intellectual property, process models, and engineering documents produced under this engagement shall become the sole property of the client upon full payment.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Statement of Work (SOW) is executed by both parties.</w:t>
      </w:r>
    </w:p>
    <w:p>
      <w:pPr>
        <w:numPr>
          <w:ilvl w:val="0"/>
          <w:numId w:val="1002"/>
        </w:numPr>
        <w:pStyle w:val="Compact"/>
      </w:pPr>
      <w:r>
        <w:t xml:space="preserve">Gulf Coast Engineering Solutions LLC carries Professional Liability Insurance of $5,000,000 per occurrence and Workers' Compensation coverage as required by Texas law for all personnel working in</w:t>
      </w:r>
      <w:r>
        <w:t xml:space="preserve"> </w:t>
      </w:r>
      <w:r>
        <w:t xml:space="preserve">United States Houston</w:t>
      </w:r>
      <w:r>
        <w:t xml:space="preserve">.</w:t>
      </w:r>
    </w:p>
    <w:p>
      <w:pPr>
        <w:numPr>
          <w:ilvl w:val="0"/>
          <w:numId w:val="1002"/>
        </w:numPr>
        <w:pStyle w:val="Compact"/>
      </w:pPr>
      <w:r>
        <w:t xml:space="preserve">Disputes arising from this engagement shall be resolved through binding arbitration in Harris County,</w:t>
      </w:r>
      <w:r>
        <w:t xml:space="preserve"> </w:t>
      </w:r>
      <w:r>
        <w:t xml:space="preserve">United States Houston</w:t>
      </w:r>
      <w:r>
        <w:t xml:space="preserve">, Texas, in accordance with the rules of the American Arbitration Association.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Gulf Coast Engineering Solutions LLC to proceed with the described</w:t>
      </w:r>
      <w:r>
        <w:t xml:space="preserve"> </w:t>
      </w:r>
      <w:r>
        <w:t xml:space="preserve">Chemical Engineer</w:t>
      </w:r>
      <w:r>
        <w:t xml:space="preserve"> </w:t>
      </w:r>
      <w:r>
        <w:t xml:space="preserve">services at the</w:t>
      </w:r>
      <w:r>
        <w:t xml:space="preserve"> </w:t>
      </w:r>
      <w:r>
        <w:t xml:space="preserve">United States Houston</w:t>
      </w:r>
      <w:r>
        <w:t xml:space="preserve"> </w:t>
      </w:r>
      <w:r>
        <w:t xml:space="preserve">facility upon execution of the formal Statement of Work.</w:t>
      </w:r>
    </w:p>
    <w:p>
      <w:pPr>
        <w:pStyle w:val="BodyText"/>
      </w:pPr>
      <w:r>
        <w:rPr>
          <w:bCs/>
          <w:b/>
        </w:rPr>
        <w:t xml:space="preserve">For Gulf Coast Engineering Solutions LLC</w:t>
      </w:r>
      <w:r>
        <w:br/>
      </w:r>
      <w:r>
        <w:t xml:space="preserve">Name: Dr. Sarah M. Chen, P.E.</w:t>
      </w:r>
      <w:r>
        <w:br/>
      </w:r>
      <w:r>
        <w:t xml:space="preserve">Title: Principal Chemical Engineer</w:t>
      </w:r>
      <w:r>
        <w:br/>
      </w:r>
      <w:r>
        <w:t xml:space="preserve">Date: ______________________</w:t>
      </w:r>
    </w:p>
    <w:p>
      <w:pPr>
        <w:pStyle w:val="BodyText"/>
      </w:pPr>
      <w:r>
        <w:rPr>
          <w:bCs/>
          <w:b/>
        </w:rPr>
        <w:t xml:space="preserve">For Meridian Petrochemical Processing Corp.</w:t>
      </w:r>
      <w:r>
        <w:br/>
      </w:r>
      <w:r>
        <w:t xml:space="preserve">Name: ______________________</w:t>
      </w:r>
      <w:r>
        <w:br/>
      </w:r>
      <w:r>
        <w:t xml:space="preserve">Title: ______________________</w:t>
      </w:r>
      <w:r>
        <w:br/>
      </w:r>
      <w:r>
        <w:t xml:space="preserve">Date: ______________________</w:t>
      </w:r>
    </w:p>
    <w:p>
      <w:pPr>
        <w:pStyle w:val="BodyText"/>
      </w:pPr>
      <w:r>
        <w:t xml:space="preserve">Gulf Coast Engineering Solutions LLC • 1200 Smith Street, Suite 4500, United States Houston, TX 77002 • (713) 555-0142</w:t>
      </w:r>
      <w:r>
        <w:br/>
      </w:r>
      <w:r>
        <w:t xml:space="preserve">This Quotation Estimate document is confidential and intended solely for the named recipient. Unauthorized distribution is prohibited.</w:t>
      </w:r>
      <w:r>
        <w:br/>
      </w:r>
      <w:r>
        <w:t xml:space="preserve">Document Reference: QE-2025-04871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United States Houston</dc:title>
  <dc:creator/>
  <dc:language>en</dc:language>
  <cp:keywords/>
  <dcterms:created xsi:type="dcterms:W3CDTF">2026-10-10T03:15:58Z</dcterms:created>
  <dcterms:modified xsi:type="dcterms:W3CDTF">2026-10-10T03:15:58Z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