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rPr>
          <w:bCs/>
          <w:b/>
        </w:rPr>
        <w:t xml:space="preserve">Apex Chemical Engineering Solutions, LLC</w:t>
      </w:r>
    </w:p>
    <w:p>
      <w:pPr>
        <w:pStyle w:val="BodyText"/>
      </w:pPr>
      <w:r>
        <w:t xml:space="preserve">1250 Broadway, Suite 4200, United States New York City, NY 10001</w:t>
      </w:r>
    </w:p>
    <w:p>
      <w:pPr>
        <w:pStyle w:val="BodyText"/>
      </w:pPr>
      <w:r>
        <w:t xml:space="preserve">Phone: (212) 555-0187 | Email: estimates@apexchemeng.com</w:t>
      </w:r>
    </w:p>
    <w:p>
      <w:pPr>
        <w:pStyle w:val="BodyText"/>
      </w:pPr>
      <w:r>
        <w:t xml:space="preserve">NY State Professional Engineering License: PE-CH-2019-4482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QEST-2025-00347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gridSpan w:val="3"/>
          </w:tcPr>
          <w:p>
            <w:pPr>
              <w:pStyle w:val="Compact"/>
              <w:jc w:val="left"/>
            </w:pPr>
            <w:r>
              <w:t xml:space="preserve">Hudson Valley Industrial Processing Corp., 480 River Road, Yonkers, United States New York City Metro Area, NY 10701</w:t>
            </w:r>
          </w:p>
        </w:tc>
      </w:tr>
      <w:tr>
        <w:tc>
          <w:tcPr/>
          <w:p>
            <w:pPr>
              <w:pStyle w:val="Compact"/>
              <w:jc w:val="left"/>
            </w:pPr>
            <w:r>
              <w:t xml:space="preserve">Project Reference:</w:t>
            </w:r>
          </w:p>
        </w:tc>
        <w:tc>
          <w:tcPr>
            <w:gridSpan w:val="3"/>
          </w:tcPr>
          <w:p>
            <w:pPr>
              <w:pStyle w:val="Compact"/>
              <w:jc w:val="left"/>
            </w:pPr>
            <w:r>
              <w:t xml:space="preserve">Catalytic Reactor System Upgrade – Phase II Expansion</w:t>
            </w:r>
          </w:p>
        </w:tc>
      </w:tr>
    </w:tbl>
    <w:p>
      <w:pPr>
        <w:pStyle w:val="BodyText"/>
      </w:pPr>
      <w:r>
        <w:t xml:space="preserve">Scope of Services – Chemical Engineer Consultation</w:t>
      </w:r>
    </w:p>
    <w:p>
      <w:pPr>
        <w:pStyle w:val="BodyText"/>
      </w:pPr>
      <w:r>
        <w:t xml:space="preserve">This</w:t>
      </w:r>
      <w:r>
        <w:t xml:space="preserve"> </w:t>
      </w:r>
      <w:r>
        <w:t xml:space="preserve">Quotation Estimate</w:t>
      </w:r>
      <w:r>
        <w:t xml:space="preserve"> </w:t>
      </w:r>
      <w:r>
        <w:t xml:space="preserve">is issued by Apex Chemical Engineering Solutions, LLC, a licensed professional engineering firm headquartered in the United States New York City metropolitan area, in response to the formal request for proposal submitted by Hudson Valley Industrial Processing Corp. The scope of work detailed herein encompasses the full engagement of a senior</w:t>
      </w:r>
      <w:r>
        <w:t xml:space="preserve"> </w:t>
      </w:r>
      <w:r>
        <w:t xml:space="preserve">Chemical Engineer</w:t>
      </w:r>
      <w:r>
        <w:t xml:space="preserve"> </w:t>
      </w:r>
      <w:r>
        <w:t xml:space="preserve">to oversee, design, and commission the Phase II expansion of the client's catalytic reactor system. All services will be performed in strict compliance with New York State Department of Environmental Conservation (NYSDEC) regulations, the United States Environmental Protection Agency (EPA) standards, and applicable OSHA safety protocols governing industrial chemical operations within the United States New York City jurisdiction.</w:t>
      </w:r>
    </w:p>
    <w:p>
      <w:pPr>
        <w:pStyle w:val="BodyText"/>
      </w:pPr>
      <w:r>
        <w:t xml:space="preserve">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rPr>
                <w:bCs/>
                <w:b/>
              </w:rPr>
              <w:t xml:space="preserve">Initial Site Assessment &amp; Process Audit</w:t>
            </w:r>
            <w:r>
              <w:t xml:space="preserve"> </w:t>
            </w:r>
            <w:r>
              <w:t xml:space="preserve">– A licensed Chemical Engineer will conduct a comprehensive on-site evaluation of the existing catalytic reactor infrastructure located in the client's facility within the United States New York City industrial corridor. This includes thermodynamic analysis, material flow mapping, and identification of bottlenecks.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 weeks</w:t>
            </w:r>
          </w:p>
        </w:tc>
      </w:tr>
      <w:tr>
        <w:tc>
          <w:tcPr/>
          <w:p>
            <w:pPr>
              <w:pStyle w:val="Compact"/>
              <w:jc w:val="left"/>
            </w:pPr>
            <w:r>
              <w:t xml:space="preserve">2</w:t>
            </w:r>
          </w:p>
        </w:tc>
        <w:tc>
          <w:tcPr/>
          <w:p>
            <w:pPr>
              <w:pStyle w:val="Compact"/>
              <w:jc w:val="left"/>
            </w:pPr>
            <w:r>
              <w:rPr>
                <w:bCs/>
                <w:b/>
              </w:rPr>
              <w:t xml:space="preserve">Process Design &amp; Engineering Calculations</w:t>
            </w:r>
            <w:r>
              <w:t xml:space="preserve"> </w:t>
            </w:r>
            <w:r>
              <w:t xml:space="preserve">– Development of detailed process flow diagrams (PFDs), piping and instrumentation diagrams (P&amp;IDs), heat and mass transfer calculations, and reactor sizing for the expanded catalytic system. All calculations will be performed by a PE-licensed Chemical Engineer registered in the State of New York.</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6 weeks</w:t>
            </w:r>
          </w:p>
        </w:tc>
      </w:tr>
      <w:tr>
        <w:tc>
          <w:tcPr/>
          <w:p>
            <w:pPr>
              <w:pStyle w:val="Compact"/>
              <w:jc w:val="left"/>
            </w:pPr>
            <w:r>
              <w:t xml:space="preserve">3</w:t>
            </w:r>
          </w:p>
        </w:tc>
        <w:tc>
          <w:tcPr/>
          <w:p>
            <w:pPr>
              <w:pStyle w:val="Compact"/>
              <w:jc w:val="left"/>
            </w:pPr>
            <w:r>
              <w:rPr>
                <w:bCs/>
                <w:b/>
              </w:rPr>
              <w:t xml:space="preserve">Environmental Compliance &amp; Permitting Support</w:t>
            </w:r>
            <w:r>
              <w:t xml:space="preserve"> </w:t>
            </w:r>
            <w:r>
              <w:t xml:space="preserve">– Preparation and submission of all required environmental impact documentation, air emission modeling, and waste management plans to NYSDEC and the EPA Region II office serving the United States New York City area. The Chemical Engineer will serve as the primary technical signatory on all regulatory filings.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4 weeks</w:t>
            </w:r>
          </w:p>
        </w:tc>
      </w:tr>
      <w:tr>
        <w:tc>
          <w:tcPr/>
          <w:p>
            <w:pPr>
              <w:pStyle w:val="Compact"/>
              <w:jc w:val="left"/>
            </w:pPr>
            <w:r>
              <w:t xml:space="preserve">4</w:t>
            </w:r>
          </w:p>
        </w:tc>
        <w:tc>
          <w:tcPr/>
          <w:p>
            <w:pPr>
              <w:pStyle w:val="Compact"/>
              <w:jc w:val="left"/>
            </w:pPr>
            <w:r>
              <w:rPr>
                <w:bCs/>
                <w:b/>
              </w:rPr>
              <w:t xml:space="preserve">Vendor Coordination &amp; Equipment Specification</w:t>
            </w:r>
            <w:r>
              <w:t xml:space="preserve"> </w:t>
            </w:r>
            <w:r>
              <w:t xml:space="preserve">– The Chemical Engineer will prepare detailed technical specifications for reactor vessels, heat exchangers, control systems, and auxiliary equipment. This includes three rounds of vendor review meetings conducted at the firm's office in United States New York City or at the client's facility.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5 weeks</w:t>
            </w:r>
          </w:p>
        </w:tc>
      </w:tr>
      <w:tr>
        <w:tc>
          <w:tcPr/>
          <w:p>
            <w:pPr>
              <w:pStyle w:val="Compact"/>
              <w:jc w:val="left"/>
            </w:pPr>
            <w:r>
              <w:t xml:space="preserve">5</w:t>
            </w:r>
          </w:p>
        </w:tc>
        <w:tc>
          <w:tcPr/>
          <w:p>
            <w:pPr>
              <w:pStyle w:val="Compact"/>
              <w:jc w:val="left"/>
            </w:pPr>
            <w:r>
              <w:rPr>
                <w:bCs/>
                <w:b/>
              </w:rPr>
              <w:t xml:space="preserve">Construction Phase Supervision</w:t>
            </w:r>
            <w:r>
              <w:t xml:space="preserve"> </w:t>
            </w:r>
            <w:r>
              <w:t xml:space="preserve">– On-site supervision by the assigned Chemical Engineer during the installation and commissioning of the expanded reactor system. Includes weekly progress reports, quality assurance inspections, and punch-list management. Minimum 3 days per week on-site in the United States New York City area.</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10 weeks</w:t>
            </w:r>
          </w:p>
        </w:tc>
      </w:tr>
      <w:tr>
        <w:tc>
          <w:tcPr/>
          <w:p>
            <w:pPr>
              <w:pStyle w:val="Compact"/>
              <w:jc w:val="left"/>
            </w:pPr>
            <w:r>
              <w:t xml:space="preserve">6</w:t>
            </w:r>
          </w:p>
        </w:tc>
        <w:tc>
          <w:tcPr/>
          <w:p>
            <w:pPr>
              <w:pStyle w:val="Compact"/>
              <w:jc w:val="left"/>
            </w:pPr>
            <w:r>
              <w:rPr>
                <w:bCs/>
                <w:b/>
              </w:rPr>
              <w:t xml:space="preserve">Commissioning, Testing &amp; Final Report</w:t>
            </w:r>
            <w:r>
              <w:t xml:space="preserve"> </w:t>
            </w:r>
            <w:r>
              <w:t xml:space="preserve">– Performance testing of the newly commissioned catalytic reactor system, validation of design parameters against operational data, and delivery of a comprehensive final engineering report. The Chemical Engineer will certify that all systems meet the design basis and applicable United States New York City building and safety codes.</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c>
          <w:tcPr/>
          <w:p>
            <w:pPr>
              <w:pStyle w:val="Compact"/>
              <w:jc w:val="left"/>
            </w:pPr>
            <w:r>
              <w:t xml:space="preserve">3 weeks</w:t>
            </w:r>
          </w:p>
        </w:tc>
      </w:tr>
      <w:tr>
        <w:tc>
          <w:tcPr/>
          <w:p>
            <w:pPr>
              <w:pStyle w:val="Compact"/>
              <w:jc w:val="left"/>
            </w:pPr>
            <w:r>
              <w:t xml:space="preserve">7</w:t>
            </w:r>
          </w:p>
        </w:tc>
        <w:tc>
          <w:tcPr/>
          <w:p>
            <w:pPr>
              <w:pStyle w:val="Compact"/>
              <w:jc w:val="left"/>
            </w:pPr>
            <w:r>
              <w:rPr>
                <w:bCs/>
                <w:b/>
              </w:rPr>
              <w:t xml:space="preserve">Post-Commissioning Support &amp; Warranty Period</w:t>
            </w:r>
            <w:r>
              <w:t xml:space="preserve"> </w:t>
            </w:r>
            <w:r>
              <w:t xml:space="preserve">– A 90-day post-commissioning support window during which the Chemical Engineer remains available for troubleshooting, minor process adjustments, and operator training sessions at the client's United States New York City facility.</w:t>
            </w:r>
          </w:p>
        </w:tc>
        <w:tc>
          <w:tcPr/>
          <w:p>
            <w:pPr>
              <w:pStyle w:val="Compact"/>
              <w:jc w:val="left"/>
            </w:pPr>
            <w:r>
              <w:t xml:space="preserve">1</w:t>
            </w:r>
          </w:p>
        </w:tc>
        <w:tc>
          <w:tcPr/>
          <w:p>
            <w:pPr>
              <w:pStyle w:val="Compact"/>
              <w:jc w:val="left"/>
            </w:pPr>
            <w:r>
              <w:t xml:space="preserve">$8,250.00</w:t>
            </w:r>
          </w:p>
        </w:tc>
        <w:tc>
          <w:tcPr/>
          <w:p>
            <w:pPr>
              <w:pStyle w:val="Compact"/>
              <w:jc w:val="left"/>
            </w:pPr>
            <w:r>
              <w:t xml:space="preserve">$8,250.00</w:t>
            </w:r>
          </w:p>
        </w:tc>
        <w:tc>
          <w:tcPr/>
          <w:p>
            <w:pPr>
              <w:pStyle w:val="Compact"/>
              <w:jc w:val="left"/>
            </w:pPr>
            <w:r>
              <w:t xml:space="preserve">90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$157,000.00</w:t>
            </w:r>
          </w:p>
        </w:tc>
      </w:tr>
      <w:tr>
        <w:tc>
          <w:tcPr/>
          <w:p>
            <w:pPr>
              <w:pStyle w:val="Compact"/>
              <w:jc w:val="left"/>
            </w:pPr>
            <w:r>
              <w:t xml:space="preserve">Applicable Sales Tax (NY State 8.875%)</w:t>
            </w:r>
          </w:p>
        </w:tc>
        <w:tc>
          <w:tcPr/>
          <w:p>
            <w:pPr>
              <w:pStyle w:val="Compact"/>
              <w:jc w:val="right"/>
            </w:pPr>
            <w:r>
              <w:t xml:space="preserve">$13,933.75</w:t>
            </w:r>
          </w:p>
        </w:tc>
      </w:tr>
      <w:tr>
        <w:tc>
          <w:tcPr/>
          <w:p>
            <w:pPr>
              <w:pStyle w:val="Compact"/>
              <w:jc w:val="left"/>
            </w:pPr>
            <w:r>
              <w:t xml:space="preserve">Travel &amp; Lodging (within United States New York City Metro)</w:t>
            </w:r>
          </w:p>
        </w:tc>
        <w:tc>
          <w:tcPr/>
          <w:p>
            <w:pPr>
              <w:pStyle w:val="Compact"/>
              <w:jc w:val="right"/>
            </w:pPr>
            <w:r>
              <w:t xml:space="preserve">$4,500.00</w:t>
            </w:r>
          </w:p>
        </w:tc>
      </w:tr>
      <w:tr>
        <w:tc>
          <w:tcPr/>
          <w:p>
            <w:pPr>
              <w:pStyle w:val="Compact"/>
              <w:jc w:val="left"/>
            </w:pPr>
            <w:r>
              <w:t xml:space="preserve">Permit Filing Fees (NYSDEC / EPA)</w:t>
            </w:r>
          </w:p>
        </w:tc>
        <w:tc>
          <w:tcPr/>
          <w:p>
            <w:pPr>
              <w:pStyle w:val="Compact"/>
              <w:jc w:val="right"/>
            </w:pPr>
            <w:r>
              <w:t xml:space="preserve">$3,200.00</w:t>
            </w:r>
          </w:p>
        </w:tc>
      </w:tr>
      <w:tr>
        <w:tc>
          <w:tcPr/>
          <w:p>
            <w:pPr>
              <w:pStyle w:val="Compact"/>
              <w:jc w:val="left"/>
            </w:pPr>
            <w:r>
              <w:t xml:space="preserve">TOTAL ESTIMATED COST</w:t>
            </w:r>
          </w:p>
        </w:tc>
        <w:tc>
          <w:tcPr/>
          <w:p>
            <w:pPr>
              <w:pStyle w:val="Compact"/>
              <w:jc w:val="right"/>
            </w:pPr>
            <w:r>
              <w:t xml:space="preserve">$178,633.75</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rates and availability of the assigned Chemical Engineer are subject to re-evaluation.</w:t>
      </w:r>
    </w:p>
    <w:p>
      <w:pPr>
        <w:numPr>
          <w:ilvl w:val="0"/>
          <w:numId w:val="1001"/>
        </w:numPr>
        <w:pStyle w:val="Compact"/>
      </w:pPr>
      <w:r>
        <w:t xml:space="preserve">Payment terms: 30% upon execution of the contract, 40% upon completion of the design and permitting phase, and 30% upon successful commissioning and delivery of the final report. All payments are due within thirty (30) days of invoice date.</w:t>
      </w:r>
    </w:p>
    <w:p>
      <w:pPr>
        <w:numPr>
          <w:ilvl w:val="0"/>
          <w:numId w:val="1001"/>
        </w:numPr>
        <w:pStyle w:val="Compact"/>
      </w:pPr>
      <w:r>
        <w:t xml:space="preserve">All engineering services will be performed by a Professional Engineer (PE) licensed as a Chemical Engineer in the State of New York, United States. The responsible Chemical Engineer for this project is Dr. Margaret L. Chen, PE (NY License No. 114829).</w:t>
      </w:r>
    </w:p>
    <w:p>
      <w:pPr>
        <w:numPr>
          <w:ilvl w:val="0"/>
          <w:numId w:val="1001"/>
        </w:numPr>
        <w:pStyle w:val="Compact"/>
      </w:pPr>
      <w:r>
        <w:t xml:space="preserve">Any changes to the scope of work beyond the parameters described in this Quotation Estimate will require a written change order signed by both parties. Additional costs will be calculated at the hourly rate of $285.00 for the Chemical Engineer and $145.00 for supporting engineering staff.</w:t>
      </w:r>
    </w:p>
    <w:p>
      <w:pPr>
        <w:numPr>
          <w:ilvl w:val="0"/>
          <w:numId w:val="1001"/>
        </w:numPr>
        <w:pStyle w:val="Compact"/>
      </w:pPr>
      <w:r>
        <w:t xml:space="preserve">All work will be conducted in accordance with the New York State Uniform Construction Code, local United States New York City building codes, and all applicable federal regulations. The firm carries professional liability insurance in the amount of $5,000,000 per occurrence.</w:t>
      </w:r>
    </w:p>
    <w:p>
      <w:pPr>
        <w:numPr>
          <w:ilvl w:val="0"/>
          <w:numId w:val="1001"/>
        </w:numPr>
        <w:pStyle w:val="Compact"/>
      </w:pPr>
      <w:r>
        <w:t xml:space="preserve">This Quotation Estimate does not constitute a binding contract until a formal agreement is executed by both parties. The firm reserves the right to withdraw this estimate if the client's facility is found to be in non-compliance with existing environmental or safety regulations prior to commencement of work.</w:t>
      </w:r>
    </w:p>
    <w:p>
      <w:pPr>
        <w:numPr>
          <w:ilvl w:val="0"/>
          <w:numId w:val="1001"/>
        </w:numPr>
        <w:pStyle w:val="Compact"/>
      </w:pPr>
      <w:r>
        <w:t xml:space="preserve">Confidentiality: All process data, proprietary formulations, and operational information shared during the engagement will be treated as strictly confidential by the Chemical Engineer and all supporting staff. A mutual Non-Disclosure Agreement (NDA) will be executed prior to the start of work.</w:t>
      </w:r>
    </w:p>
    <w:p>
      <w:pPr>
        <w:numPr>
          <w:ilvl w:val="0"/>
          <w:numId w:val="1001"/>
        </w:numPr>
        <w:pStyle w:val="Compact"/>
      </w:pPr>
      <w:r>
        <w:t xml:space="preserve">Governing Law: This Quotation Estimate and any resulting contract shall be governed by the laws of the State of New York, United States. Any disputes shall be resolved through binding arbitration in the United States New York City jurisdiction under the rules of the American Arbitration Association.</w:t>
      </w:r>
    </w:p>
    <w:p>
      <w:pPr>
        <w:pStyle w:val="FirstParagraph"/>
      </w:pPr>
      <w:r>
        <w:rPr>
          <w:bCs/>
          <w:b/>
        </w:rPr>
        <w:t xml:space="preserve">Prepared By:</w:t>
      </w:r>
    </w:p>
    <w:p>
      <w:pPr>
        <w:pStyle w:val="BodyText"/>
      </w:pPr>
      <w:r>
        <w:t xml:space="preserve">Apex Chemical Engineering Solutions, LLC</w:t>
      </w:r>
    </w:p>
    <w:p>
      <w:pPr>
        <w:pStyle w:val="BodyText"/>
      </w:pPr>
      <w:r>
        <w:rPr>
          <w:bCs/>
          <w:b/>
        </w:rPr>
        <w:t xml:space="preserve">Dr. Margaret L. Chen, PE</w:t>
      </w:r>
      <w:r>
        <w:br/>
      </w:r>
      <w:r>
        <w:t xml:space="preserve">Lead Chemical Engineer &amp; Principal</w:t>
      </w:r>
      <w:r>
        <w:br/>
      </w:r>
      <w:r>
        <w:t xml:space="preserve">Date: ______________________</w:t>
      </w:r>
    </w:p>
    <w:p>
      <w:pPr>
        <w:pStyle w:val="BodyText"/>
      </w:pPr>
      <w:r>
        <w:rPr>
          <w:bCs/>
          <w:b/>
        </w:rPr>
        <w:t xml:space="preserve">Accepted By (Client):</w:t>
      </w:r>
    </w:p>
    <w:p>
      <w:pPr>
        <w:pStyle w:val="BodyText"/>
      </w:pPr>
      <w:r>
        <w:t xml:space="preserve">Hudson Valley Industrial Processing Corp.</w:t>
      </w:r>
    </w:p>
    <w:p>
      <w:pPr>
        <w:pStyle w:val="BodyText"/>
      </w:pPr>
      <w:r>
        <w:rPr>
          <w:bCs/>
          <w:b/>
        </w:rPr>
        <w:t xml:space="preserve">Authorized Representative</w:t>
      </w:r>
      <w:r>
        <w:br/>
      </w:r>
      <w:r>
        <w:t xml:space="preserve">Name: ______________________</w:t>
      </w:r>
      <w:r>
        <w:br/>
      </w:r>
      <w:r>
        <w:t xml:space="preserve">Title: ______________________</w:t>
      </w:r>
      <w:r>
        <w:br/>
      </w:r>
      <w:r>
        <w:t xml:space="preserve">Date: ______________________</w:t>
      </w:r>
    </w:p>
    <w:p>
      <w:pPr>
        <w:pStyle w:val="BodyText"/>
      </w:pPr>
      <w:r>
        <w:t xml:space="preserve">Apex Chemical Engineering Solutions, LLC | 1250 Broadway, Suite 4200, United States New York City, NY 10001</w:t>
      </w:r>
    </w:p>
    <w:p>
      <w:pPr>
        <w:pStyle w:val="BodyText"/>
      </w:pPr>
      <w:r>
        <w:t xml:space="preserve">This Quotation Estimate (QEST-2025-00347) is the property of Apex Chemical Engineering Solutions, LLC.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United States New York City</dc:title>
  <dc:creator/>
  <dc:language>en</dc:language>
  <cp:keywords/>
  <dcterms:created xsi:type="dcterms:W3CDTF">2026-10-10T04:35:42Z</dcterms:created>
  <dcterms:modified xsi:type="dcterms:W3CDTF">2026-10-10T04:35:42Z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