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Chemical Engineer Services</w:t>
      </w:r>
    </w:p>
    <w:p>
      <w:pPr>
        <w:pStyle w:val="BodyText"/>
      </w:pPr>
      <w:r>
        <w:t xml:space="preserve">Uzbekistan Tashkent | Industrial &amp; Process Engineering Division</w:t>
      </w:r>
    </w:p>
    <w:p>
      <w:pPr>
        <w:pStyle w:val="BodyText"/>
      </w:pPr>
      <w:r>
        <w:t xml:space="preserve">Document Reference: QE-2025-TSK-0472</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Tashkent Petrochemical Industries JSC</w:t>
      </w:r>
    </w:p>
    <w:p>
      <w:pPr>
        <w:pStyle w:val="BodyText"/>
      </w:pPr>
      <w:r>
        <w:rPr>
          <w:bCs/>
          <w:b/>
        </w:rPr>
        <w:t xml:space="preserve">Location:</w:t>
      </w:r>
      <w:r>
        <w:t xml:space="preserve"> </w:t>
      </w:r>
      <w:r>
        <w:t xml:space="preserve">Uzbekistan Tashkent, Chilonzor District</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in response to the formal request submitted by Tashkent Petrochemical Industries JSC for the engagement of a qualified</w:t>
      </w:r>
      <w:r>
        <w:t xml:space="preserve"> </w:t>
      </w:r>
      <w:r>
        <w:t xml:space="preserve">Chemical Engineer</w:t>
      </w:r>
      <w:r>
        <w:t xml:space="preserve"> </w:t>
      </w:r>
      <w:r>
        <w:t xml:space="preserve">to provide comprehensive process design, optimization, and safety consulting services at their manufacturing facility located in</w:t>
      </w:r>
      <w:r>
        <w:t xml:space="preserve"> </w:t>
      </w:r>
      <w:r>
        <w:t xml:space="preserve">Uzbekistan Tashkent</w:t>
      </w:r>
      <w:r>
        <w:t xml:space="preserve">. This Quotation Estimate outlines the full scope of professional services, associated costs, project timelines, and contractual terms governing the engagement of the Chemical Engineer throughout the duration of the assignment.</w:t>
      </w:r>
    </w:p>
    <w:p>
      <w:pPr>
        <w:pStyle w:val="BodyText"/>
      </w:pPr>
      <w:r>
        <w:t xml:space="preserve">The Chemical Engineer services described herein are specifically tailored to meet the regulatory requirements of the Republic of Uzbekistan, including compliance with the State Technical Supervision of Uzbekistan (Gostekhnadzor) and all applicable environmental and industrial safety standards enforced within the Tashkent metropolitan area.</w:t>
      </w:r>
    </w:p>
    <w:bookmarkEnd w:id="21"/>
    <w:bookmarkStart w:id="22" w:name="scope-of-chemical-engineer-services"/>
    <w:p>
      <w:pPr>
        <w:pStyle w:val="Heading2"/>
      </w:pPr>
      <w:r>
        <w:t xml:space="preserve">2. Scope of Chemical Engineer Services</w:t>
      </w:r>
    </w:p>
    <w:p>
      <w:pPr>
        <w:pStyle w:val="FirstParagraph"/>
      </w:pPr>
      <w:r>
        <w:t xml:space="preserve">The following services will be delivered by the assigned Chemical Engineer at the client's premises in Uzbekistan Tashkent: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Process Flow Diagram (PFD) and P&amp;ID Design Review for the new polymer production line</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Chemical Process Safety Assessment (Hazard and Operability Study - HAZOP) for existing reactors</w:t>
            </w:r>
          </w:p>
        </w:tc>
        <w:tc>
          <w:tcPr/>
          <w:p>
            <w:pPr>
              <w:pStyle w:val="Compact"/>
              <w:jc w:val="left"/>
            </w:pPr>
            <w:r>
              <w:t xml:space="preserve">2 weeks</w:t>
            </w:r>
          </w:p>
        </w:tc>
        <w:tc>
          <w:tcPr/>
          <w:p>
            <w:pPr>
              <w:pStyle w:val="Compact"/>
              <w:jc w:val="left"/>
            </w:pPr>
            <w:r>
              <w:t xml:space="preserve">Lump Sum</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03</w:t>
            </w:r>
          </w:p>
        </w:tc>
        <w:tc>
          <w:tcPr/>
          <w:p>
            <w:pPr>
              <w:pStyle w:val="Compact"/>
              <w:jc w:val="left"/>
            </w:pPr>
            <w:r>
              <w:t xml:space="preserve">Thermodynamic and Kinetic Modeling of the catalytic distillation unit</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04</w:t>
            </w:r>
          </w:p>
        </w:tc>
        <w:tc>
          <w:tcPr/>
          <w:p>
            <w:pPr>
              <w:pStyle w:val="Compact"/>
              <w:jc w:val="left"/>
            </w:pPr>
            <w:r>
              <w:t xml:space="preserve">Waste Treatment and Emissions Compliance Audit per Uzbekistan environmental regulations</w:t>
            </w:r>
          </w:p>
        </w:tc>
        <w:tc>
          <w:tcPr/>
          <w:p>
            <w:pPr>
              <w:pStyle w:val="Compact"/>
              <w:jc w:val="left"/>
            </w:pPr>
            <w:r>
              <w:t xml:space="preserve">2 weeks</w:t>
            </w:r>
          </w:p>
        </w:tc>
        <w:tc>
          <w:tcPr/>
          <w:p>
            <w:pPr>
              <w:pStyle w:val="Compact"/>
              <w:jc w:val="left"/>
            </w:pPr>
            <w:r>
              <w:t xml:space="preserve">Lump Sum</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On-site Process Optimization and Energy Efficiency Consulting (Chemical Engineer resident)</w:t>
            </w:r>
          </w:p>
        </w:tc>
        <w:tc>
          <w:tcPr/>
          <w:p>
            <w:pPr>
              <w:pStyle w:val="Compact"/>
              <w:jc w:val="left"/>
            </w:pPr>
            <w:r>
              <w:t xml:space="preserve">6 weeks</w:t>
            </w:r>
          </w:p>
        </w:tc>
        <w:tc>
          <w:tcPr/>
          <w:p>
            <w:pPr>
              <w:pStyle w:val="Compact"/>
              <w:jc w:val="left"/>
            </w:pPr>
            <w:r>
              <w:t xml:space="preserve">Per Week</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06</w:t>
            </w:r>
          </w:p>
        </w:tc>
        <w:tc>
          <w:tcPr/>
          <w:p>
            <w:pPr>
              <w:pStyle w:val="Compact"/>
              <w:jc w:val="left"/>
            </w:pPr>
            <w:r>
              <w:t xml:space="preserve">Technical Training for Local Engineering Staff on Process Control Systems</w:t>
            </w:r>
          </w:p>
        </w:tc>
        <w:tc>
          <w:tcPr/>
          <w:p>
            <w:pPr>
              <w:pStyle w:val="Compact"/>
              <w:jc w:val="left"/>
            </w:pPr>
            <w:r>
              <w:t xml:space="preserve">1 week</w:t>
            </w:r>
          </w:p>
        </w:tc>
        <w:tc>
          <w:tcPr/>
          <w:p>
            <w:pPr>
              <w:pStyle w:val="Compact"/>
              <w:jc w:val="left"/>
            </w:pPr>
            <w:r>
              <w:t xml:space="preserve">Lump Sum</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Preparation of Final Technical Report and Regulatory Submission Package for Gostekhnadzor</w:t>
            </w:r>
          </w:p>
        </w:tc>
        <w:tc>
          <w:tcPr/>
          <w:p>
            <w:pPr>
              <w:pStyle w:val="Compact"/>
              <w:jc w:val="left"/>
            </w:pPr>
            <w:r>
              <w:t xml:space="preserve">2 weeks</w:t>
            </w:r>
          </w:p>
        </w:tc>
        <w:tc>
          <w:tcPr/>
          <w:p>
            <w:pPr>
              <w:pStyle w:val="Compact"/>
              <w:jc w:val="left"/>
            </w:pPr>
            <w:r>
              <w:t xml:space="preserve">Lump Sum</w:t>
            </w:r>
          </w:p>
        </w:tc>
        <w:tc>
          <w:tcPr/>
          <w:p>
            <w:pPr>
              <w:pStyle w:val="Compact"/>
              <w:jc w:val="left"/>
            </w:pPr>
            <w:r>
              <w:t xml:space="preserve">5,300.00</w:t>
            </w:r>
          </w:p>
        </w:tc>
        <w:tc>
          <w:tcPr/>
          <w:p>
            <w:pPr>
              <w:pStyle w:val="Compact"/>
              <w:jc w:val="left"/>
            </w:pPr>
            <w:r>
              <w:t xml:space="preserve">5,300.00</w:t>
            </w:r>
          </w:p>
        </w:tc>
      </w:tr>
      <w:tr>
        <w:tc>
          <w:tcPr/>
          <w:p>
            <w:pPr>
              <w:pStyle w:val="Compact"/>
              <w:jc w:val="left"/>
            </w:pPr>
            <w:r>
              <w:t xml:space="preserve">08</w:t>
            </w:r>
          </w:p>
        </w:tc>
        <w:tc>
          <w:tcPr/>
          <w:p>
            <w:pPr>
              <w:pStyle w:val="Compact"/>
              <w:jc w:val="left"/>
            </w:pPr>
            <w:r>
              <w:t xml:space="preserve">Travel, Accommodation, and Local Transportation within Uzbekistan Tashkent</w:t>
            </w:r>
          </w:p>
        </w:tc>
        <w:tc>
          <w:tcPr/>
          <w:p>
            <w:pPr>
              <w:pStyle w:val="Compact"/>
              <w:jc w:val="left"/>
            </w:pPr>
            <w:r>
              <w:t xml:space="preserve">20 weeks</w:t>
            </w:r>
          </w:p>
        </w:tc>
        <w:tc>
          <w:tcPr/>
          <w:p>
            <w:pPr>
              <w:pStyle w:val="Compact"/>
              <w:jc w:val="left"/>
            </w:pPr>
            <w:r>
              <w:t xml:space="preserve">Per Week</w:t>
            </w:r>
          </w:p>
        </w:tc>
        <w:tc>
          <w:tcPr/>
          <w:p>
            <w:pPr>
              <w:pStyle w:val="Compact"/>
              <w:jc w:val="left"/>
            </w:pPr>
            <w:r>
              <w:t xml:space="preserve">850.00</w:t>
            </w:r>
          </w:p>
        </w:tc>
        <w:tc>
          <w:tcPr/>
          <w:p>
            <w:pPr>
              <w:pStyle w:val="Compact"/>
              <w:jc w:val="left"/>
            </w:pPr>
            <w:r>
              <w:t xml:space="preserve">17,000.00</w:t>
            </w:r>
          </w:p>
        </w:tc>
      </w:tr>
      <w:tr>
        <w:tc>
          <w:tcPr>
            <w:gridSpan w:val="5"/>
          </w:tcPr>
          <w:p>
            <w:pPr>
              <w:pStyle w:val="Compact"/>
              <w:jc w:val="left"/>
            </w:pPr>
            <w:r>
              <w:t xml:space="preserve">TOTAL ESTIMATED COST (USD)</w:t>
            </w:r>
          </w:p>
        </w:tc>
        <w:tc>
          <w:tcPr/>
          <w:p>
            <w:pPr>
              <w:pStyle w:val="Compact"/>
              <w:jc w:val="left"/>
            </w:pPr>
            <w:r>
              <w:t xml:space="preserve">89,250.00</w:t>
            </w:r>
          </w:p>
        </w:tc>
      </w:tr>
    </w:tbl>
    <w:bookmarkEnd w:id="22"/>
    <w:bookmarkStart w:id="23" w:name="project-timeline-and-milestones"/>
    <w:p>
      <w:pPr>
        <w:pStyle w:val="Heading2"/>
      </w:pPr>
      <w:r>
        <w:t xml:space="preserve">3. Project Timeline and Milestones</w:t>
      </w:r>
    </w:p>
    <w:p>
      <w:pPr>
        <w:pStyle w:val="FirstParagraph"/>
      </w:pPr>
      <w:r>
        <w:t xml:space="preserve">The Chemical Engineer engagement in Uzbekistan Tashkent is projected to span approximately twenty (20) weeks from the date of contract execution. Key milestones include the completion of the P&amp;ID review by Week 4, the HAZOP study by Week 6, thermodynamic modeling by Week 10, and the final regulatory submission package by Week 20. All deliverables will be submitted in both English and Uzbek to ensure full compliance with local documentation requirements in Uzbekistan Tashkent.</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thirty (30) calendar days from the date of issue. Any request for services beyond this validity period will require a revised Quotation Estimate.</w:t>
      </w:r>
    </w:p>
    <w:p>
      <w:pPr>
        <w:numPr>
          <w:ilvl w:val="0"/>
          <w:numId w:val="1001"/>
        </w:numPr>
        <w:pStyle w:val="Compact"/>
      </w:pPr>
      <w:r>
        <w:t xml:space="preserve">Payment terms: 30% advance payment upon contract signing, 40% upon completion of the mid-project milestone (Week 10), and 30% upon final delivery and acceptance of all Chemical Engineer deliverables.</w:t>
      </w:r>
    </w:p>
    <w:p>
      <w:pPr>
        <w:numPr>
          <w:ilvl w:val="0"/>
          <w:numId w:val="1001"/>
        </w:numPr>
        <w:pStyle w:val="Compact"/>
      </w:pPr>
      <w:r>
        <w:t xml:space="preserve">All payments shall be made in US Dollars (USD) via international wire transfer to the account designated in the contract annex. The client is responsible for any applicable banking fees in Uzbekistan Tashkent.</w:t>
      </w:r>
    </w:p>
    <w:p>
      <w:pPr>
        <w:numPr>
          <w:ilvl w:val="0"/>
          <w:numId w:val="1001"/>
        </w:numPr>
        <w:pStyle w:val="Compact"/>
      </w:pPr>
      <w:r>
        <w:t xml:space="preserve">The Chemical Engineer shall maintain professional liability insurance with a minimum coverage of USD 1,000,000 throughout the duration of the assignment in Uzbekistan Tashkent.</w:t>
      </w:r>
    </w:p>
    <w:p>
      <w:pPr>
        <w:numPr>
          <w:ilvl w:val="0"/>
          <w:numId w:val="1001"/>
        </w:numPr>
        <w:pStyle w:val="Compact"/>
      </w:pPr>
      <w:r>
        <w:t xml:space="preserve">Any changes to the scope of work beyond 10% of the original Quotation Estimate value will require a written change order signed by both parties.</w:t>
      </w:r>
    </w:p>
    <w:p>
      <w:pPr>
        <w:numPr>
          <w:ilvl w:val="0"/>
          <w:numId w:val="1001"/>
        </w:numPr>
        <w:pStyle w:val="Compact"/>
      </w:pPr>
      <w:r>
        <w:t xml:space="preserve">Confidentiality: All process data, proprietary formulations, and operational information accessed by the Chemical Engineer during the assignment in Uzbekistan Tashkent shall remain strictly confidential and shall not be disclosed to any third party.</w:t>
      </w:r>
    </w:p>
    <w:p>
      <w:pPr>
        <w:numPr>
          <w:ilvl w:val="0"/>
          <w:numId w:val="1001"/>
        </w:numPr>
        <w:pStyle w:val="Compact"/>
      </w:pPr>
      <w:r>
        <w:t xml:space="preserve">This Quotation Estimate does not constitute a binding contract until a formal service agreement is executed by both parties.</w:t>
      </w:r>
    </w:p>
    <w:p>
      <w:pPr>
        <w:numPr>
          <w:ilvl w:val="0"/>
          <w:numId w:val="1001"/>
        </w:numPr>
        <w:pStyle w:val="Compact"/>
      </w:pPr>
      <w:r>
        <w:t xml:space="preserve">Applicable law: This Quotation Estimate and any resulting contract shall be governed by the commercial laws of the Republic of Uzbekistan, with disputes to be resolved through arbitration in Tashkent.</w:t>
      </w:r>
    </w:p>
    <w:bookmarkEnd w:id="24"/>
    <w:bookmarkStart w:id="25" w:name="assumptions-and-exclusions"/>
    <w:p>
      <w:pPr>
        <w:pStyle w:val="Heading2"/>
      </w:pPr>
      <w:r>
        <w:t xml:space="preserve">5. Assumptions and Exclusions</w:t>
      </w:r>
    </w:p>
    <w:p>
      <w:pPr>
        <w:pStyle w:val="FirstParagraph"/>
      </w:pPr>
      <w:r>
        <w:t xml:space="preserve">This Quotation Estimate assumes that the client will provide full access to all relevant process documentation, plant records, and operational data at the Uzbekistan Tashkent facility. The Quotation Estimate does not include the cost of physical equipment procurement, construction labor, or third-party laboratory testing services. The Chemical Engineer's role is strictly advisory and design-oriented; implementation and construction management fall outside the scope of this estimate.</w:t>
      </w:r>
    </w:p>
    <w:bookmarkEnd w:id="25"/>
    <w:p>
      <w:pPr>
        <w:pStyle w:val="BodyText"/>
      </w:pPr>
      <w:r>
        <w:rPr>
          <w:bCs/>
          <w:b/>
        </w:rPr>
        <w:t xml:space="preserve">Prepared By:</w:t>
      </w:r>
    </w:p>
    <w:p>
      <w:pPr>
        <w:pStyle w:val="BodyText"/>
      </w:pPr>
      <w:r>
        <w:t xml:space="preserve">Dr. Aziz Karimov, P.Eng.</w:t>
      </w:r>
      <w:r>
        <w:br/>
      </w:r>
      <w:r>
        <w:t xml:space="preserve">Lead Chemical Engineer</w:t>
      </w:r>
      <w:r>
        <w:br/>
      </w:r>
      <w:r>
        <w:t xml:space="preserve">Central Asia Process Consulting LLC</w:t>
      </w:r>
      <w:r>
        <w:br/>
      </w:r>
      <w:r>
        <w:t xml:space="preserve">Tashkent, Uzbekistan</w:t>
      </w:r>
    </w:p>
    <w:p>
      <w:pPr>
        <w:pStyle w:val="BodyText"/>
      </w:pPr>
      <w:r>
        <w:rPr>
          <w:bCs/>
          <w:b/>
        </w:rPr>
        <w:t xml:space="preserve">Accepted By (Client):</w:t>
      </w:r>
    </w:p>
    <w:p>
      <w:pPr>
        <w:pStyle w:val="BodyText"/>
      </w:pPr>
      <w:r>
        <w:t xml:space="preserve">Authorized Representative</w:t>
      </w:r>
      <w:r>
        <w:br/>
      </w:r>
      <w:r>
        <w:t xml:space="preserve">Tashkent Petrochemical Industries JSC</w:t>
      </w:r>
      <w:r>
        <w:br/>
      </w:r>
      <w:r>
        <w:t xml:space="preserve">Uzbekistan Tashkent</w:t>
      </w:r>
    </w:p>
    <w:p>
      <w:pPr>
        <w:pStyle w:val="BodyText"/>
      </w:pPr>
      <w:r>
        <w:t xml:space="preserve">Quotation Estimate No. QE-2025-TSK-0472 | Chemical Engineer Services | Uzbekistan Tashkent</w:t>
      </w:r>
    </w:p>
    <w:p>
      <w:pPr>
        <w:pStyle w:val="BodyText"/>
      </w:pPr>
      <w:r>
        <w:t xml:space="preserve">Central Asia Process Consulting LLC | 12 Amir Temur Avenue, Tashkent 100084, Uzbekistan | Tel: +998 71 200 4567 | Email: info@capc-uz.com</w:t>
      </w:r>
    </w:p>
    <w:p>
      <w:pPr>
        <w:pStyle w:val="BodyText"/>
      </w:pPr>
      <w:r>
        <w:t xml:space="preserve">This document is confidential and intended solely for the named recipient.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Uzbekistan Tashkent</dc:title>
  <dc:creator/>
  <dc:language>en</dc:language>
  <cp:keywords/>
  <dcterms:created xsi:type="dcterms:W3CDTF">2026-10-10T04:24:22Z</dcterms:created>
  <dcterms:modified xsi:type="dcterms:W3CDTF">2026-10-10T04:24:22Z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