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rPr>
          <w:bCs/>
          <w:b/>
        </w:rPr>
        <w:t xml:space="preserve">Pharmacie du Chemist – Algiers Central</w:t>
      </w:r>
    </w:p>
    <w:p>
      <w:pPr>
        <w:pStyle w:val="BodyText"/>
      </w:pPr>
      <w:r>
        <w:t xml:space="preserve">12, Rue Didouche Mourad, Hydra, 16000 Algiers, Algeria</w:t>
      </w:r>
    </w:p>
    <w:p>
      <w:pPr>
        <w:pStyle w:val="BodyText"/>
      </w:pPr>
      <w:r>
        <w:t xml:space="preserve">Tel: +213 (0) 23 45 67 89 | Email: contact@chemist-algiers.dz</w:t>
      </w:r>
    </w:p>
    <w:p>
      <w:pPr>
        <w:pStyle w:val="BodyText"/>
      </w:pPr>
      <w:r>
        <w:t xml:space="preserve">RC: 16/00-1234567 B 2024 | NIF: 002345678901234</w:t>
      </w:r>
    </w:p>
    <w:bookmarkEnd w:id="20"/>
    <w:p>
      <w:pPr>
        <w:pStyle w:val="BodyText"/>
      </w:pPr>
      <w:r>
        <w:rPr>
          <w:bCs/>
          <w:b/>
        </w:rPr>
        <w:t xml:space="preserve">Quotation No.:</w:t>
      </w:r>
      <w:r>
        <w:t xml:space="preserve"> </w:t>
      </w:r>
      <w:r>
        <w:t xml:space="preserve">QE-ALG-2025-0047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Clinique El Amel, 45 Rue Hassiba Ben Bouali, 16000 Algiers, Algeria</w:t>
      </w:r>
    </w:p>
    <w:p>
      <w:pPr>
        <w:pStyle w:val="BodyText"/>
      </w:pPr>
      <w:r>
        <w:t xml:space="preserve">Dear Valued Client,</w:t>
      </w:r>
    </w:p>
    <w:p>
      <w:pPr>
        <w:pStyle w:val="BodyText"/>
      </w:pPr>
      <w:r>
        <w:t xml:space="preserve">Thank you for your inquiry regarding the supply of pharmaceutical products, medical supplies, and related services for your clinic. This</w:t>
      </w:r>
      <w:r>
        <w:t xml:space="preserve"> </w:t>
      </w:r>
      <w:r>
        <w:t xml:space="preserve">Quotation Estimate</w:t>
      </w:r>
      <w:r>
        <w:t xml:space="preserve"> </w:t>
      </w:r>
      <w:r>
        <w:t xml:space="preserve">has been carefully prepared by our</w:t>
      </w:r>
      <w:r>
        <w:t xml:space="preserve"> </w:t>
      </w:r>
      <w:r>
        <w:t xml:space="preserve">Chemist</w:t>
      </w:r>
      <w:r>
        <w:t xml:space="preserve"> </w:t>
      </w:r>
      <w:r>
        <w:t xml:space="preserve">team at Pharmacie du Chemist, Algiers Central, to provide you with a comprehensive and transparent breakdown of all costs associated with the proposed supply contract. As a licensed and regulated</w:t>
      </w:r>
      <w:r>
        <w:t xml:space="preserve"> </w:t>
      </w:r>
      <w:r>
        <w:t xml:space="preserve">Chemist</w:t>
      </w:r>
      <w:r>
        <w:t xml:space="preserve"> </w:t>
      </w:r>
      <w:r>
        <w:t xml:space="preserve">operating under the Algerian Ministry of Health in</w:t>
      </w:r>
      <w:r>
        <w:t xml:space="preserve"> </w:t>
      </w:r>
      <w:r>
        <w:t xml:space="preserve">Algeria Algiers</w:t>
      </w:r>
      <w:r>
        <w:t xml:space="preserve">, we are committed to delivering the highest standards of pharmaceutical quality, regulatory compliance, and professional service.</w:t>
      </w:r>
    </w:p>
    <w:p>
      <w:pPr>
        <w:pStyle w:val="BodyText"/>
      </w:pPr>
      <w:r>
        <w:t xml:space="preserve">This</w:t>
      </w:r>
      <w:r>
        <w:t xml:space="preserve"> </w:t>
      </w:r>
      <w:r>
        <w:t xml:space="preserve">Quotation Estimate</w:t>
      </w:r>
      <w:r>
        <w:t xml:space="preserve"> </w:t>
      </w:r>
      <w:r>
        <w:t xml:space="preserve">covers a twelve-month supply agreement for essential pharmaceutical products, diagnostic reagents, and ancillary medical supplies. All pricing is quoted in Algerian Dinar (DZD) and is subject to the current regulatory framework governing pharmaceutical distribution in</w:t>
      </w:r>
      <w:r>
        <w:t xml:space="preserve"> </w:t>
      </w:r>
      <w:r>
        <w:t xml:space="preserve">Algeria Algiers</w:t>
      </w:r>
      <w:r>
        <w:t xml:space="preserve">. Our</w:t>
      </w:r>
      <w:r>
        <w:t xml:space="preserve"> </w:t>
      </w:r>
      <w:r>
        <w:t xml:space="preserve">Chemist</w:t>
      </w:r>
      <w:r>
        <w:t xml:space="preserve"> </w:t>
      </w:r>
      <w:r>
        <w:t xml:space="preserve">team has sourced all items from approved manufacturers and authorized distributors to ensure full compliance with the Algerian National Agency for Medicines and Health Products (ANSM).</w:t>
      </w:r>
    </w:p>
    <w:bookmarkStart w:id="21" w:name="X9fb71b0eb5b8b2fc61417afa5e9b542414e4007"/>
    <w:p>
      <w:pPr>
        <w:pStyle w:val="Heading2"/>
      </w:pPr>
      <w:r>
        <w:t xml:space="preserve">Itemized Quotation Estimate – Pharmaceutical Supply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Amoxicillin 500mg Capsules (30 caps/box) – Approved by ANSM</w:t>
            </w:r>
          </w:p>
        </w:tc>
        <w:tc>
          <w:tcPr/>
          <w:p>
            <w:pPr>
              <w:pStyle w:val="Compact"/>
              <w:jc w:val="left"/>
            </w:pPr>
            <w:r>
              <w:t xml:space="preserve">500</w:t>
            </w:r>
          </w:p>
        </w:tc>
        <w:tc>
          <w:tcPr/>
          <w:p>
            <w:pPr>
              <w:pStyle w:val="Compact"/>
              <w:jc w:val="left"/>
            </w:pPr>
            <w:r>
              <w:t xml:space="preserve">Boxes</w:t>
            </w:r>
          </w:p>
        </w:tc>
        <w:tc>
          <w:tcPr/>
          <w:p>
            <w:pPr>
              <w:pStyle w:val="Compact"/>
              <w:jc w:val="left"/>
            </w:pPr>
            <w:r>
              <w:t xml:space="preserve">450.00</w:t>
            </w:r>
          </w:p>
        </w:tc>
        <w:tc>
          <w:tcPr/>
          <w:p>
            <w:pPr>
              <w:pStyle w:val="Compact"/>
              <w:jc w:val="left"/>
            </w:pPr>
            <w:r>
              <w:t xml:space="preserve">225,000.00</w:t>
            </w:r>
          </w:p>
        </w:tc>
      </w:tr>
      <w:tr>
        <w:tc>
          <w:tcPr/>
          <w:p>
            <w:pPr>
              <w:pStyle w:val="Compact"/>
              <w:jc w:val="left"/>
            </w:pPr>
            <w:r>
              <w:t xml:space="preserve">02</w:t>
            </w:r>
          </w:p>
        </w:tc>
        <w:tc>
          <w:tcPr/>
          <w:p>
            <w:pPr>
              <w:pStyle w:val="Compact"/>
              <w:jc w:val="left"/>
            </w:pPr>
            <w:r>
              <w:t xml:space="preserve">Ibuprofen 400mg Tablets (20 tabs/box)</w:t>
            </w:r>
          </w:p>
        </w:tc>
        <w:tc>
          <w:tcPr/>
          <w:p>
            <w:pPr>
              <w:pStyle w:val="Compact"/>
              <w:jc w:val="left"/>
            </w:pPr>
            <w:r>
              <w:t xml:space="preserve">800</w:t>
            </w:r>
          </w:p>
        </w:tc>
        <w:tc>
          <w:tcPr/>
          <w:p>
            <w:pPr>
              <w:pStyle w:val="Compact"/>
              <w:jc w:val="left"/>
            </w:pPr>
            <w:r>
              <w:t xml:space="preserve">Boxes</w:t>
            </w:r>
          </w:p>
        </w:tc>
        <w:tc>
          <w:tcPr/>
          <w:p>
            <w:pPr>
              <w:pStyle w:val="Compact"/>
              <w:jc w:val="left"/>
            </w:pPr>
            <w:r>
              <w:t xml:space="preserve">280.00</w:t>
            </w:r>
          </w:p>
        </w:tc>
        <w:tc>
          <w:tcPr/>
          <w:p>
            <w:pPr>
              <w:pStyle w:val="Compact"/>
              <w:jc w:val="left"/>
            </w:pPr>
            <w:r>
              <w:t xml:space="preserve">224,000.00</w:t>
            </w:r>
          </w:p>
        </w:tc>
      </w:tr>
      <w:tr>
        <w:tc>
          <w:tcPr/>
          <w:p>
            <w:pPr>
              <w:pStyle w:val="Compact"/>
              <w:jc w:val="left"/>
            </w:pPr>
            <w:r>
              <w:t xml:space="preserve">03</w:t>
            </w:r>
          </w:p>
        </w:tc>
        <w:tc>
          <w:tcPr/>
          <w:p>
            <w:pPr>
              <w:pStyle w:val="Compact"/>
              <w:jc w:val="left"/>
            </w:pPr>
            <w:r>
              <w:t xml:space="preserve">Metformin 850mg Tablets (30 tabs/box)</w:t>
            </w:r>
          </w:p>
        </w:tc>
        <w:tc>
          <w:tcPr/>
          <w:p>
            <w:pPr>
              <w:pStyle w:val="Compact"/>
              <w:jc w:val="left"/>
            </w:pPr>
            <w:r>
              <w:t xml:space="preserve">300</w:t>
            </w:r>
          </w:p>
        </w:tc>
        <w:tc>
          <w:tcPr/>
          <w:p>
            <w:pPr>
              <w:pStyle w:val="Compact"/>
              <w:jc w:val="left"/>
            </w:pPr>
            <w:r>
              <w:t xml:space="preserve">Boxes</w:t>
            </w:r>
          </w:p>
        </w:tc>
        <w:tc>
          <w:tcPr/>
          <w:p>
            <w:pPr>
              <w:pStyle w:val="Compact"/>
              <w:jc w:val="left"/>
            </w:pPr>
            <w:r>
              <w:t xml:space="preserve">620.00</w:t>
            </w:r>
          </w:p>
        </w:tc>
        <w:tc>
          <w:tcPr/>
          <w:p>
            <w:pPr>
              <w:pStyle w:val="Compact"/>
              <w:jc w:val="left"/>
            </w:pPr>
            <w:r>
              <w:t xml:space="preserve">186,000.00</w:t>
            </w:r>
          </w:p>
        </w:tc>
      </w:tr>
      <w:tr>
        <w:tc>
          <w:tcPr/>
          <w:p>
            <w:pPr>
              <w:pStyle w:val="Compact"/>
              <w:jc w:val="left"/>
            </w:pPr>
            <w:r>
              <w:t xml:space="preserve">04</w:t>
            </w:r>
          </w:p>
        </w:tc>
        <w:tc>
          <w:tcPr/>
          <w:p>
            <w:pPr>
              <w:pStyle w:val="Compact"/>
              <w:jc w:val="left"/>
            </w:pPr>
            <w:r>
              <w:t xml:space="preserve">Normal Saline 0.9% IV Solution (500ml bags)</w:t>
            </w:r>
          </w:p>
        </w:tc>
        <w:tc>
          <w:tcPr/>
          <w:p>
            <w:pPr>
              <w:pStyle w:val="Compact"/>
              <w:jc w:val="left"/>
            </w:pPr>
            <w:r>
              <w:t xml:space="preserve">1,000</w:t>
            </w:r>
          </w:p>
        </w:tc>
        <w:tc>
          <w:tcPr/>
          <w:p>
            <w:pPr>
              <w:pStyle w:val="Compact"/>
              <w:jc w:val="left"/>
            </w:pPr>
            <w:r>
              <w:t xml:space="preserve">Bags</w:t>
            </w:r>
          </w:p>
        </w:tc>
        <w:tc>
          <w:tcPr/>
          <w:p>
            <w:pPr>
              <w:pStyle w:val="Compact"/>
              <w:jc w:val="left"/>
            </w:pPr>
            <w:r>
              <w:t xml:space="preserve">185.00</w:t>
            </w:r>
          </w:p>
        </w:tc>
        <w:tc>
          <w:tcPr/>
          <w:p>
            <w:pPr>
              <w:pStyle w:val="Compact"/>
              <w:jc w:val="left"/>
            </w:pPr>
            <w:r>
              <w:t xml:space="preserve">185,000.00</w:t>
            </w:r>
          </w:p>
        </w:tc>
      </w:tr>
      <w:tr>
        <w:tc>
          <w:tcPr/>
          <w:p>
            <w:pPr>
              <w:pStyle w:val="Compact"/>
              <w:jc w:val="left"/>
            </w:pPr>
            <w:r>
              <w:t xml:space="preserve">05</w:t>
            </w:r>
          </w:p>
        </w:tc>
        <w:tc>
          <w:tcPr/>
          <w:p>
            <w:pPr>
              <w:pStyle w:val="Compact"/>
              <w:jc w:val="left"/>
            </w:pPr>
            <w:r>
              <w:t xml:space="preserve">Sterile Gauze Pads 10x10cm (100 pads/pack)</w:t>
            </w:r>
          </w:p>
        </w:tc>
        <w:tc>
          <w:tcPr/>
          <w:p>
            <w:pPr>
              <w:pStyle w:val="Compact"/>
              <w:jc w:val="left"/>
            </w:pPr>
            <w:r>
              <w:t xml:space="preserve">200</w:t>
            </w:r>
          </w:p>
        </w:tc>
        <w:tc>
          <w:tcPr/>
          <w:p>
            <w:pPr>
              <w:pStyle w:val="Compact"/>
              <w:jc w:val="left"/>
            </w:pPr>
            <w:r>
              <w:t xml:space="preserve">Packs</w:t>
            </w:r>
          </w:p>
        </w:tc>
        <w:tc>
          <w:tcPr/>
          <w:p>
            <w:pPr>
              <w:pStyle w:val="Compact"/>
              <w:jc w:val="left"/>
            </w:pPr>
            <w:r>
              <w:t xml:space="preserve">350.00</w:t>
            </w:r>
          </w:p>
        </w:tc>
        <w:tc>
          <w:tcPr/>
          <w:p>
            <w:pPr>
              <w:pStyle w:val="Compact"/>
              <w:jc w:val="left"/>
            </w:pPr>
            <w:r>
              <w:t xml:space="preserve">70,000.00</w:t>
            </w:r>
          </w:p>
        </w:tc>
      </w:tr>
      <w:tr>
        <w:tc>
          <w:tcPr/>
          <w:p>
            <w:pPr>
              <w:pStyle w:val="Compact"/>
              <w:jc w:val="left"/>
            </w:pPr>
            <w:r>
              <w:t xml:space="preserve">06</w:t>
            </w:r>
          </w:p>
        </w:tc>
        <w:tc>
          <w:tcPr/>
          <w:p>
            <w:pPr>
              <w:pStyle w:val="Compact"/>
              <w:jc w:val="left"/>
            </w:pPr>
            <w:r>
              <w:t xml:space="preserve">Disposable Syringes 5ml (100 units/box)</w:t>
            </w:r>
          </w:p>
        </w:tc>
        <w:tc>
          <w:tcPr/>
          <w:p>
            <w:pPr>
              <w:pStyle w:val="Compact"/>
              <w:jc w:val="left"/>
            </w:pPr>
            <w:r>
              <w:t xml:space="preserve">150</w:t>
            </w:r>
          </w:p>
        </w:tc>
        <w:tc>
          <w:tcPr/>
          <w:p>
            <w:pPr>
              <w:pStyle w:val="Compact"/>
              <w:jc w:val="left"/>
            </w:pPr>
            <w:r>
              <w:t xml:space="preserve">Boxes</w:t>
            </w:r>
          </w:p>
        </w:tc>
        <w:tc>
          <w:tcPr/>
          <w:p>
            <w:pPr>
              <w:pStyle w:val="Compact"/>
              <w:jc w:val="left"/>
            </w:pPr>
            <w:r>
              <w:t xml:space="preserve">520.00</w:t>
            </w:r>
          </w:p>
        </w:tc>
        <w:tc>
          <w:tcPr/>
          <w:p>
            <w:pPr>
              <w:pStyle w:val="Compact"/>
              <w:jc w:val="left"/>
            </w:pPr>
            <w:r>
              <w:t xml:space="preserve">78,000.00</w:t>
            </w:r>
          </w:p>
        </w:tc>
      </w:tr>
      <w:tr>
        <w:tc>
          <w:tcPr/>
          <w:p>
            <w:pPr>
              <w:pStyle w:val="Compact"/>
              <w:jc w:val="left"/>
            </w:pPr>
            <w:r>
              <w:t xml:space="preserve">07</w:t>
            </w:r>
          </w:p>
        </w:tc>
        <w:tc>
          <w:tcPr/>
          <w:p>
            <w:pPr>
              <w:pStyle w:val="Compact"/>
              <w:jc w:val="left"/>
            </w:pPr>
            <w:r>
              <w:t xml:space="preserve">Blood Glucose Test Strips (50 strips/box)</w:t>
            </w:r>
          </w:p>
        </w:tc>
        <w:tc>
          <w:tcPr/>
          <w:p>
            <w:pPr>
              <w:pStyle w:val="Compact"/>
              <w:jc w:val="left"/>
            </w:pPr>
            <w:r>
              <w:t xml:space="preserve">100</w:t>
            </w:r>
          </w:p>
        </w:tc>
        <w:tc>
          <w:tcPr/>
          <w:p>
            <w:pPr>
              <w:pStyle w:val="Compact"/>
              <w:jc w:val="left"/>
            </w:pPr>
            <w:r>
              <w:t xml:space="preserve">Boxes</w:t>
            </w:r>
          </w:p>
        </w:tc>
        <w:tc>
          <w:tcPr/>
          <w:p>
            <w:pPr>
              <w:pStyle w:val="Compact"/>
              <w:jc w:val="left"/>
            </w:pPr>
            <w:r>
              <w:t xml:space="preserve">1,250.00</w:t>
            </w:r>
          </w:p>
        </w:tc>
        <w:tc>
          <w:tcPr/>
          <w:p>
            <w:pPr>
              <w:pStyle w:val="Compact"/>
              <w:jc w:val="left"/>
            </w:pPr>
            <w:r>
              <w:t xml:space="preserve">125,000.00</w:t>
            </w:r>
          </w:p>
        </w:tc>
      </w:tr>
      <w:tr>
        <w:tc>
          <w:tcPr/>
          <w:p>
            <w:pPr>
              <w:pStyle w:val="Compact"/>
              <w:jc w:val="left"/>
            </w:pPr>
            <w:r>
              <w:t xml:space="preserve">08</w:t>
            </w:r>
          </w:p>
        </w:tc>
        <w:tc>
          <w:tcPr/>
          <w:p>
            <w:pPr>
              <w:pStyle w:val="Compact"/>
              <w:jc w:val="left"/>
            </w:pPr>
            <w:r>
              <w:t xml:space="preserve">Paracetamol 1g IV Infusion (100ml vials, 10/vial pack)</w:t>
            </w:r>
          </w:p>
        </w:tc>
        <w:tc>
          <w:tcPr/>
          <w:p>
            <w:pPr>
              <w:pStyle w:val="Compact"/>
              <w:jc w:val="left"/>
            </w:pPr>
            <w:r>
              <w:t xml:space="preserve">250</w:t>
            </w:r>
          </w:p>
        </w:tc>
        <w:tc>
          <w:tcPr/>
          <w:p>
            <w:pPr>
              <w:pStyle w:val="Compact"/>
              <w:jc w:val="left"/>
            </w:pPr>
            <w:r>
              <w:t xml:space="preserve">Packs</w:t>
            </w:r>
          </w:p>
        </w:tc>
        <w:tc>
          <w:tcPr/>
          <w:p>
            <w:pPr>
              <w:pStyle w:val="Compact"/>
              <w:jc w:val="left"/>
            </w:pPr>
            <w:r>
              <w:t xml:space="preserve">780.00</w:t>
            </w:r>
          </w:p>
        </w:tc>
        <w:tc>
          <w:tcPr/>
          <w:p>
            <w:pPr>
              <w:pStyle w:val="Compact"/>
              <w:jc w:val="left"/>
            </w:pPr>
            <w:r>
              <w:t xml:space="preserve">195,000.00</w:t>
            </w:r>
          </w:p>
        </w:tc>
      </w:tr>
      <w:tr>
        <w:tc>
          <w:tcPr/>
          <w:p>
            <w:pPr>
              <w:pStyle w:val="Compact"/>
              <w:jc w:val="left"/>
            </w:pPr>
            <w:r>
              <w:t xml:space="preserve">09</w:t>
            </w:r>
          </w:p>
        </w:tc>
        <w:tc>
          <w:tcPr/>
          <w:p>
            <w:pPr>
              <w:pStyle w:val="Compact"/>
              <w:jc w:val="left"/>
            </w:pPr>
            <w:r>
              <w:t xml:space="preserve">Pharmaceutical Storage &amp; Inventory Management Service (monthly)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10</w:t>
            </w:r>
          </w:p>
        </w:tc>
        <w:tc>
          <w:tcPr/>
          <w:p>
            <w:pPr>
              <w:pStyle w:val="Compact"/>
              <w:jc w:val="left"/>
            </w:pPr>
            <w:r>
              <w:t xml:space="preserve">On-site Chemist Consultation &amp; Drug Interaction Review (quarterly)</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35,000.00</w:t>
            </w:r>
          </w:p>
        </w:tc>
        <w:tc>
          <w:tcPr/>
          <w:p>
            <w:pPr>
              <w:pStyle w:val="Compact"/>
              <w:jc w:val="left"/>
            </w:pPr>
            <w:r>
              <w:t xml:space="preserve">140,000.00</w:t>
            </w:r>
          </w:p>
        </w:tc>
      </w:tr>
      <w:tr>
        <w:tc>
          <w:tcPr>
            <w:gridSpan w:val="5"/>
          </w:tcPr>
          <w:p>
            <w:pPr>
              <w:pStyle w:val="Compact"/>
              <w:jc w:val="right"/>
            </w:pPr>
            <w:r>
              <w:t xml:space="preserve">Subtotal:</w:t>
            </w:r>
          </w:p>
        </w:tc>
        <w:tc>
          <w:tcPr/>
          <w:p>
            <w:pPr>
              <w:pStyle w:val="Compact"/>
              <w:jc w:val="left"/>
            </w:pPr>
            <w:r>
              <w:t xml:space="preserve">1,968,000.00</w:t>
            </w:r>
          </w:p>
        </w:tc>
      </w:tr>
      <w:tr>
        <w:tc>
          <w:tcPr>
            <w:gridSpan w:val="5"/>
          </w:tcPr>
          <w:p>
            <w:pPr>
              <w:pStyle w:val="Compact"/>
              <w:jc w:val="right"/>
            </w:pPr>
            <w:r>
              <w:t xml:space="preserve">VAT (19% – Algeria Algiers Standard Rate):</w:t>
            </w:r>
          </w:p>
        </w:tc>
        <w:tc>
          <w:tcPr/>
          <w:p>
            <w:pPr>
              <w:pStyle w:val="Compact"/>
              <w:jc w:val="left"/>
            </w:pPr>
            <w:r>
              <w:t xml:space="preserve">373,920.00</w:t>
            </w:r>
          </w:p>
        </w:tc>
      </w:tr>
      <w:tr>
        <w:tc>
          <w:tcPr>
            <w:gridSpan w:val="5"/>
          </w:tcPr>
          <w:p>
            <w:pPr>
              <w:pStyle w:val="Compact"/>
              <w:jc w:val="right"/>
            </w:pPr>
            <w:r>
              <w:t xml:space="preserve">Delivery &amp; Handling within Algiers City Limits:</w:t>
            </w:r>
          </w:p>
        </w:tc>
        <w:tc>
          <w:tcPr/>
          <w:p>
            <w:pPr>
              <w:pStyle w:val="Compact"/>
              <w:jc w:val="left"/>
            </w:pPr>
            <w:r>
              <w:t xml:space="preserve">25,000.00</w:t>
            </w:r>
          </w:p>
        </w:tc>
      </w:tr>
      <w:tr>
        <w:tc>
          <w:tcPr>
            <w:gridSpan w:val="5"/>
          </w:tcPr>
          <w:p>
            <w:pPr>
              <w:pStyle w:val="Compact"/>
              <w:jc w:val="right"/>
            </w:pPr>
            <w:r>
              <w:rPr>
                <w:bCs/>
                <w:b/>
              </w:rPr>
              <w:t xml:space="preserve">GRAND TOTAL (DZD):</w:t>
            </w:r>
          </w:p>
        </w:tc>
        <w:tc>
          <w:tcPr/>
          <w:p>
            <w:pPr>
              <w:pStyle w:val="Compact"/>
              <w:jc w:val="left"/>
            </w:pPr>
            <w:r>
              <w:rPr>
                <w:bCs/>
                <w:b/>
              </w:rPr>
              <w:t xml:space="preserve">2,366,920.00</w:t>
            </w:r>
          </w:p>
        </w:tc>
      </w:tr>
    </w:tbl>
    <w:bookmarkEnd w:id="21"/>
    <w:bookmarkStart w:id="22" w:name="X985eb999f0cfcda5f1af1a675bf0b7c2e0a6c64"/>
    <w:p>
      <w:pPr>
        <w:pStyle w:val="Heading2"/>
      </w:pPr>
      <w:r>
        <w:t xml:space="preserve">Terms and Conditions of This Quotation Estimate</w:t>
      </w:r>
    </w:p>
    <w:p>
      <w:pPr>
        <w:numPr>
          <w:ilvl w:val="0"/>
          <w:numId w:val="1001"/>
        </w:numPr>
        <w:pStyle w:val="Compact"/>
      </w:pPr>
      <w:r>
        <w:rPr>
          <w:bCs/>
          <w:b/>
        </w:rPr>
        <w:t xml:space="preserve">1. Validity:</w:t>
      </w:r>
      <w:r>
        <w:t xml:space="preserve"> </w:t>
      </w:r>
      <w:r>
        <w:t xml:space="preserve">This Quotation Estimate is valid for thirty (30) calendar days from the date of issue. After the expiry date, prices may be revised to reflect changes in the Algerian pharmaceutical market, currency fluctuations, or regulatory adjustments in Algeria Algiers.</w:t>
      </w:r>
    </w:p>
    <w:p>
      <w:pPr>
        <w:numPr>
          <w:ilvl w:val="0"/>
          <w:numId w:val="1001"/>
        </w:numPr>
        <w:pStyle w:val="Compact"/>
      </w:pPr>
      <w:r>
        <w:rPr>
          <w:bCs/>
          <w:b/>
        </w:rPr>
        <w:t xml:space="preserve">2. Payment Terms:</w:t>
      </w:r>
      <w:r>
        <w:t xml:space="preserve"> </w:t>
      </w:r>
      <w:r>
        <w:t xml:space="preserve">Payment shall be made within thirty (30) days of invoice issuance via bank transfer to the account of Pharmacie du Chemist, Algiers Central. A 2% late payment penalty shall apply to overdue balances in accordance with Algerian commercial law.</w:t>
      </w:r>
    </w:p>
    <w:p>
      <w:pPr>
        <w:numPr>
          <w:ilvl w:val="0"/>
          <w:numId w:val="1001"/>
        </w:numPr>
        <w:pStyle w:val="Compact"/>
      </w:pPr>
      <w:r>
        <w:rPr>
          <w:bCs/>
          <w:b/>
        </w:rPr>
        <w:t xml:space="preserve">3. Delivery:</w:t>
      </w:r>
      <w:r>
        <w:t xml:space="preserve"> </w:t>
      </w:r>
      <w:r>
        <w:t xml:space="preserve">All pharmaceutical products listed in this Quotation Estimate will be delivered to the client's premises in Algiers within five (5) business days of order confirmation. Cold-chain items will be transported in temperature-controlled vehicles compliant with ANSM guidelines.</w:t>
      </w:r>
    </w:p>
    <w:p>
      <w:pPr>
        <w:numPr>
          <w:ilvl w:val="0"/>
          <w:numId w:val="1001"/>
        </w:numPr>
        <w:pStyle w:val="Compact"/>
      </w:pPr>
      <w:r>
        <w:rPr>
          <w:bCs/>
          <w:b/>
        </w:rPr>
        <w:t xml:space="preserve">4. Quality Assurance:</w:t>
      </w:r>
      <w:r>
        <w:t xml:space="preserve"> </w:t>
      </w:r>
      <w:r>
        <w:t xml:space="preserve">Our licensed Chemist guarantees that all products supplied are within their expiry date (minimum 18 months remaining), stored under appropriate conditions, and accompanied by full batch documentation and certificates of analysis.</w:t>
      </w:r>
    </w:p>
    <w:p>
      <w:pPr>
        <w:numPr>
          <w:ilvl w:val="0"/>
          <w:numId w:val="1001"/>
        </w:numPr>
        <w:pStyle w:val="Compact"/>
      </w:pPr>
      <w:r>
        <w:rPr>
          <w:bCs/>
          <w:b/>
        </w:rPr>
        <w:t xml:space="preserve">5. Regulatory Compliance:</w:t>
      </w:r>
      <w:r>
        <w:t xml:space="preserve"> </w:t>
      </w:r>
      <w:r>
        <w:t xml:space="preserve">All transactions are conducted in full compliance with the Algerian Public Health Code, the ANSM regulations, and the specific licensing requirements for pharmaceutical distribution in Algeria Algiers. The Chemist responsible for this supply holds a valid professional license (N° 16-CH-2024-0891).</w:t>
      </w:r>
    </w:p>
    <w:p>
      <w:pPr>
        <w:numPr>
          <w:ilvl w:val="0"/>
          <w:numId w:val="1001"/>
        </w:numPr>
        <w:pStyle w:val="Compact"/>
      </w:pPr>
      <w:r>
        <w:rPr>
          <w:bCs/>
          <w:b/>
        </w:rPr>
        <w:t xml:space="preserve">6. Returns &amp; Defects:</w:t>
      </w:r>
      <w:r>
        <w:t xml:space="preserve"> </w:t>
      </w:r>
      <w:r>
        <w:t xml:space="preserve">Any product found to be damaged, expired, or non-conforming upon delivery must be reported within forty-eight (48) hours. Our Chemist team will arrange for immediate replacement or credit at no additional cost to the client.</w:t>
      </w:r>
    </w:p>
    <w:p>
      <w:pPr>
        <w:numPr>
          <w:ilvl w:val="0"/>
          <w:numId w:val="1001"/>
        </w:numPr>
        <w:pStyle w:val="Compact"/>
      </w:pPr>
      <w:r>
        <w:rPr>
          <w:bCs/>
          <w:b/>
        </w:rPr>
        <w:t xml:space="preserve">7. Confidentiality:</w:t>
      </w:r>
      <w:r>
        <w:t xml:space="preserve"> </w:t>
      </w:r>
      <w:r>
        <w:t xml:space="preserve">All information exchanged in connection with this Quotation Estimate, including pricing, volumes, and clinical data, shall be treated as strictly confidential by both parties.</w:t>
      </w:r>
    </w:p>
    <w:p>
      <w:pPr>
        <w:numPr>
          <w:ilvl w:val="0"/>
          <w:numId w:val="1001"/>
        </w:numPr>
        <w:pStyle w:val="Compact"/>
      </w:pPr>
      <w:r>
        <w:rPr>
          <w:bCs/>
          <w:b/>
        </w:rPr>
        <w:t xml:space="preserve">8. Governing Law:</w:t>
      </w:r>
      <w:r>
        <w:t xml:space="preserve"> </w:t>
      </w:r>
      <w:r>
        <w:t xml:space="preserve">This Quotation Estimate and any resulting contract shall be governed by the laws of the Algerian People's Democratic Republic. Any disputes shall be resolved through the competent courts of Algiers, Algeria.</w:t>
      </w:r>
    </w:p>
    <w:bookmarkEnd w:id="22"/>
    <w:bookmarkStart w:id="23" w:name="acceptance-and-authorization"/>
    <w:p>
      <w:pPr>
        <w:pStyle w:val="Heading2"/>
      </w:pPr>
      <w:r>
        <w:t xml:space="preserve">Acceptance and Authorization</w:t>
      </w:r>
    </w:p>
    <w:p>
      <w:pPr>
        <w:pStyle w:val="FirstParagraph"/>
      </w:pPr>
      <w:r>
        <w:t xml:space="preserve">By signing below, the client acknowledges receipt of this Quotation Estimate and agrees to the terms and conditions outlined above. This document serves as a binding offer from Pharmacie du Chemist, Algiers Central, for the supply of pharmaceutical products and services as detailed herein.</w:t>
      </w:r>
    </w:p>
    <w:p>
      <w:pPr>
        <w:pStyle w:val="BodyText"/>
      </w:pPr>
      <w:r>
        <w:rPr>
          <w:bCs/>
          <w:b/>
        </w:rPr>
        <w:t xml:space="preserve">For Pharmacie du Chemist, Algiers Central</w:t>
      </w:r>
    </w:p>
    <w:p>
      <w:pPr>
        <w:pStyle w:val="BodyText"/>
      </w:pPr>
      <w:r>
        <w:t xml:space="preserve">Authorized Chemist / Pharmacist-in-Charge</w:t>
      </w:r>
    </w:p>
    <w:p>
      <w:pPr>
        <w:pStyle w:val="BodyText"/>
      </w:pPr>
      <w:r>
        <w:t xml:space="preserve">Name: Dr. Amine Benali, Pharm.D.</w:t>
      </w:r>
      <w:r>
        <w:br/>
      </w:r>
      <w:r>
        <w:t xml:space="preserve">License No: 16-CH-2024-0891</w:t>
      </w:r>
      <w:r>
        <w:br/>
      </w:r>
      <w:r>
        <w:t xml:space="preserve">Date: _______________</w:t>
      </w:r>
    </w:p>
    <w:p>
      <w:pPr>
        <w:pStyle w:val="BodyText"/>
      </w:pPr>
      <w:r>
        <w:rPr>
          <w:bCs/>
          <w:b/>
        </w:rPr>
        <w:t xml:space="preserve">For Clinique El Amel (Client)</w:t>
      </w:r>
    </w:p>
    <w:p>
      <w:pPr>
        <w:pStyle w:val="BodyText"/>
      </w:pPr>
      <w:r>
        <w:t xml:space="preserve">Authorized Representative</w:t>
      </w:r>
    </w:p>
    <w:p>
      <w:pPr>
        <w:pStyle w:val="BodyText"/>
      </w:pPr>
      <w:r>
        <w:t xml:space="preserve">Name: _________________________</w:t>
      </w:r>
      <w:r>
        <w:br/>
      </w:r>
      <w:r>
        <w:t xml:space="preserve">Title: _________________________</w:t>
      </w:r>
      <w:r>
        <w:br/>
      </w:r>
      <w:r>
        <w:t xml:space="preserve">Date: _______________</w:t>
      </w:r>
    </w:p>
    <w:p>
      <w:pPr>
        <w:pStyle w:val="BodyText"/>
      </w:pPr>
      <w:r>
        <w:t xml:space="preserve">Pharmacie du Chemist – Algiers Central | 12, Rue Didouche Mourad, Hydra, 16000 Algiers, Algeria</w:t>
      </w:r>
    </w:p>
    <w:p>
      <w:pPr>
        <w:pStyle w:val="BodyText"/>
      </w:pPr>
      <w:r>
        <w:t xml:space="preserve">This Quotation Estimate was prepared in accordance with the regulatory standards of the Algerian Ministry of Health and the ANSM.</w:t>
      </w:r>
    </w:p>
    <w:p>
      <w:pPr>
        <w:pStyle w:val="BodyText"/>
      </w:pPr>
      <w:r>
        <w:t xml:space="preserve">Document Reference: QE-ALG-2025-0047 | Page 1 of 1</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Algeria Algiers</dc:title>
  <dc:creator/>
  <dc:language>en</dc:language>
  <cp:keywords/>
  <dcterms:created xsi:type="dcterms:W3CDTF">2026-10-10T04:31:50Z</dcterms:created>
  <dcterms:modified xsi:type="dcterms:W3CDTF">2026-10-10T04:31:50Z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