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Chemist</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20" w:name="quotation-estimate"/>
    <w:p>
      <w:pPr>
        <w:pStyle w:val="Heading1"/>
      </w:pPr>
      <w:r>
        <w:t xml:space="preserve">Quotation Estimate</w:t>
      </w:r>
    </w:p>
    <w:p>
      <w:pPr>
        <w:pStyle w:val="FirstParagraph"/>
      </w:pPr>
      <w:r>
        <w:t xml:space="preserve">Professional Chemist Services — Brazil São Paulo</w:t>
      </w:r>
    </w:p>
    <w:p>
      <w:pPr>
        <w:pStyle w:val="BodyText"/>
      </w:pPr>
      <w:r>
        <w:t xml:space="preserve">Document No. QTE-SP-2025-0472</w:t>
      </w:r>
    </w:p>
    <w:bookmarkEnd w:id="20"/>
    <w:bookmarkStart w:id="21" w:name="provider-chemist-firm"/>
    <w:p>
      <w:pPr>
        <w:pStyle w:val="Heading3"/>
      </w:pPr>
      <w:r>
        <w:t xml:space="preserve">Provider (Chemist Firm)</w:t>
      </w:r>
    </w:p>
    <w:p>
      <w:pPr>
        <w:pStyle w:val="FirstParagraph"/>
      </w:pPr>
      <w:r>
        <w:rPr>
          <w:bCs/>
          <w:b/>
        </w:rPr>
        <w:t xml:space="preserve">LabQuímica São Paulo Ltda.</w:t>
      </w:r>
    </w:p>
    <w:p>
      <w:pPr>
        <w:pStyle w:val="BodyText"/>
      </w:pPr>
      <w:r>
        <w:t xml:space="preserve">Av. Paulista, 1578 — Bela Vista</w:t>
      </w:r>
    </w:p>
    <w:p>
      <w:pPr>
        <w:pStyle w:val="BodyText"/>
      </w:pPr>
      <w:r>
        <w:t xml:space="preserve">São Paulo, SP — CEP 01310-300</w:t>
      </w:r>
    </w:p>
    <w:p>
      <w:pPr>
        <w:pStyle w:val="BodyText"/>
      </w:pPr>
      <w:r>
        <w:t xml:space="preserve">CNPJ: 12.345.678/0001-90</w:t>
      </w:r>
    </w:p>
    <w:p>
      <w:pPr>
        <w:pStyle w:val="BodyText"/>
      </w:pPr>
      <w:r>
        <w:t xml:space="preserve">CRQ-SP: 045678-9</w:t>
      </w:r>
    </w:p>
    <w:p>
      <w:pPr>
        <w:pStyle w:val="BodyText"/>
      </w:pPr>
      <w:r>
        <w:t xml:space="preserve">contact@labquimicasp.com.br</w:t>
      </w:r>
    </w:p>
    <w:p>
      <w:pPr>
        <w:pStyle w:val="BodyText"/>
      </w:pPr>
      <w:r>
        <w:t xml:space="preserve">+55 (11) 3456-7890</w:t>
      </w:r>
    </w:p>
    <w:bookmarkEnd w:id="21"/>
    <w:bookmarkStart w:id="22" w:name="client"/>
    <w:p>
      <w:pPr>
        <w:pStyle w:val="Heading3"/>
      </w:pPr>
      <w:r>
        <w:t xml:space="preserve">Client</w:t>
      </w:r>
    </w:p>
    <w:p>
      <w:pPr>
        <w:pStyle w:val="FirstParagraph"/>
      </w:pPr>
      <w:r>
        <w:rPr>
          <w:bCs/>
          <w:b/>
        </w:rPr>
        <w:t xml:space="preserve">PharmaNova Indústria Farmacêutica S.A.</w:t>
      </w:r>
    </w:p>
    <w:p>
      <w:pPr>
        <w:pStyle w:val="BodyText"/>
      </w:pPr>
      <w:r>
        <w:t xml:space="preserve">Rua das Indústrias, 2200 — Pq. D. Pedro II</w:t>
      </w:r>
    </w:p>
    <w:p>
      <w:pPr>
        <w:pStyle w:val="BodyText"/>
      </w:pPr>
      <w:r>
        <w:t xml:space="preserve">São Paulo, SP — CEP 01423-000</w:t>
      </w:r>
    </w:p>
    <w:p>
      <w:pPr>
        <w:pStyle w:val="BodyText"/>
      </w:pPr>
      <w:r>
        <w:t xml:space="preserve">CNPJ: 98.765.432/0001-10</w:t>
      </w:r>
    </w:p>
    <w:p>
      <w:pPr>
        <w:pStyle w:val="BodyText"/>
      </w:pPr>
      <w:r>
        <w:t xml:space="preserve">procurement@pharmanova.com.br</w:t>
      </w:r>
    </w:p>
    <w:p>
      <w:pPr>
        <w:pStyle w:val="BodyText"/>
      </w:pPr>
      <w:r>
        <w:t xml:space="preserve">+55 (11) 2345-6789</w:t>
      </w:r>
    </w:p>
    <w:bookmarkEnd w:id="22"/>
    <w:bookmarkStart w:id="23" w:name="quotation-details"/>
    <w:p>
      <w:pPr>
        <w:pStyle w:val="Heading3"/>
      </w:pPr>
      <w:r>
        <w:t xml:space="preserve">Quotation Details</w:t>
      </w:r>
    </w:p>
    <w:p>
      <w:pPr>
        <w:pStyle w:val="FirstParagraph"/>
      </w:pPr>
      <w:r>
        <w:rPr>
          <w:bCs/>
          <w:b/>
        </w:rPr>
        <w:t xml:space="preserve">Date of Issue:</w:t>
      </w:r>
      <w:r>
        <w:t xml:space="preserve"> </w:t>
      </w:r>
      <w:r>
        <w:t xml:space="preserve">15 June 2025</w:t>
      </w:r>
    </w:p>
    <w:p>
      <w:pPr>
        <w:pStyle w:val="BodyText"/>
      </w:pPr>
      <w:r>
        <w:rPr>
          <w:bCs/>
          <w:b/>
        </w:rPr>
        <w:t xml:space="preserve">Validity Period:</w:t>
      </w:r>
      <w:r>
        <w:t xml:space="preserve"> </w:t>
      </w:r>
      <w:r>
        <w:t xml:space="preserve">30 calendar days</w:t>
      </w:r>
    </w:p>
    <w:p>
      <w:pPr>
        <w:pStyle w:val="BodyText"/>
      </w:pPr>
      <w:r>
        <w:rPr>
          <w:bCs/>
          <w:b/>
        </w:rPr>
        <w:t xml:space="preserve">Currency:</w:t>
      </w:r>
      <w:r>
        <w:t xml:space="preserve"> </w:t>
      </w:r>
      <w:r>
        <w:t xml:space="preserve">Brazilian Real (BRL / R$)</w:t>
      </w:r>
    </w:p>
    <w:p>
      <w:pPr>
        <w:pStyle w:val="BodyText"/>
      </w:pPr>
      <w:r>
        <w:rPr>
          <w:bCs/>
          <w:b/>
        </w:rPr>
        <w:t xml:space="preserve">Payment Terms:</w:t>
      </w:r>
      <w:r>
        <w:t xml:space="preserve"> </w:t>
      </w:r>
      <w:r>
        <w:t xml:space="preserve">Net 30 days</w:t>
      </w:r>
    </w:p>
    <w:bookmarkEnd w:id="23"/>
    <w:bookmarkStart w:id="24" w:name="project-reference"/>
    <w:p>
      <w:pPr>
        <w:pStyle w:val="Heading3"/>
      </w:pPr>
      <w:r>
        <w:t xml:space="preserve">Project Reference</w:t>
      </w:r>
    </w:p>
    <w:p>
      <w:pPr>
        <w:pStyle w:val="FirstParagraph"/>
      </w:pPr>
      <w:r>
        <w:rPr>
          <w:bCs/>
          <w:b/>
        </w:rPr>
        <w:t xml:space="preserve">Project:</w:t>
      </w:r>
      <w:r>
        <w:t xml:space="preserve"> </w:t>
      </w:r>
      <w:r>
        <w:t xml:space="preserve">Annual Quality Control &amp; Analytical Chemistry Program</w:t>
      </w:r>
    </w:p>
    <w:p>
      <w:pPr>
        <w:pStyle w:val="BodyText"/>
      </w:pPr>
      <w:r>
        <w:rPr>
          <w:bCs/>
          <w:b/>
        </w:rPr>
        <w:t xml:space="preserve">Location:</w:t>
      </w:r>
      <w:r>
        <w:t xml:space="preserve"> </w:t>
      </w:r>
      <w:r>
        <w:t xml:space="preserve">São Paulo, Brazil</w:t>
      </w:r>
    </w:p>
    <w:p>
      <w:pPr>
        <w:pStyle w:val="BodyText"/>
      </w:pPr>
      <w:r>
        <w:rPr>
          <w:bCs/>
          <w:b/>
        </w:rPr>
        <w:t xml:space="preserve">Duration:</w:t>
      </w:r>
      <w:r>
        <w:t xml:space="preserve"> </w:t>
      </w:r>
      <w:r>
        <w:t xml:space="preserve">12 months (July 2025 – June 2026)</w:t>
      </w:r>
    </w:p>
    <w:p>
      <w:pPr>
        <w:pStyle w:val="BodyText"/>
      </w:pPr>
      <w:r>
        <w:rPr>
          <w:bCs/>
          <w:b/>
        </w:rPr>
        <w:t xml:space="preserve">Regulatory Framework:</w:t>
      </w:r>
      <w:r>
        <w:t xml:space="preserve"> </w:t>
      </w:r>
      <w:r>
        <w:t xml:space="preserve">ANVISA RDC 17/2010</w:t>
      </w:r>
    </w:p>
    <w:bookmarkEnd w:id="24"/>
    <w:bookmarkStart w:id="25" w:name="X057c93ffa1f64de71e4c18dc6448ab94d13db48"/>
    <w:p>
      <w:pPr>
        <w:pStyle w:val="Heading2"/>
      </w:pPr>
      <w:r>
        <w:t xml:space="preserve">1. Scope of Services — Chemist Professional Engagement</w:t>
      </w:r>
    </w:p>
    <w:p>
      <w:pPr>
        <w:pStyle w:val="FirstParagraph"/>
      </w:pPr>
      <w:r>
        <w:t xml:space="preserve">This Quotation Estimate is issued by LabQuímica São Paulo Ltda. to PharmaNova Indústria Farmacêutica S.A. for the provision of specialized</w:t>
      </w:r>
      <w:r>
        <w:t xml:space="preserve"> </w:t>
      </w:r>
      <w:r>
        <w:rPr>
          <w:bCs/>
          <w:b/>
        </w:rPr>
        <w:t xml:space="preserve">Chemist</w:t>
      </w:r>
      <w:r>
        <w:t xml:space="preserve"> </w:t>
      </w:r>
      <w:r>
        <w:t xml:space="preserve">professional services to be executed in</w:t>
      </w:r>
      <w:r>
        <w:t xml:space="preserve"> </w:t>
      </w:r>
      <w:r>
        <w:rPr>
          <w:bCs/>
          <w:b/>
        </w:rPr>
        <w:t xml:space="preserve">Brazil São Paulo</w:t>
      </w:r>
      <w:r>
        <w:t xml:space="preserve">. The scope encompasses a comprehensive suite of analytical chemistry, pharmaceutical quality assurance, and regulatory compliance activities performed by a team of licensed Brazilian chemists (CRQ-SP registered) operating from our certified laboratory facility in the city of São Paulo, State of São Paulo, Brazil.</w:t>
      </w:r>
    </w:p>
    <w:p>
      <w:pPr>
        <w:pStyle w:val="BodyText"/>
      </w:pPr>
      <w:r>
        <w:t xml:space="preserve">The Chemist team assigned to this engagement will consist of one Senior Analytical Chemist (lead), two Junior Chemists, and one Quality Assurance Chemist, all holding valid registrations with the Conselho Regional de Química – 4º Região (São Paulo). All services will be conducted in strict accordance with Brazilian pharmacopoeia standards, ANVISA regulations, and Good Laboratory Practice (GLP) protocols as mandated for pharmaceutical operations in Brazil São Paulo.</w:t>
      </w:r>
    </w:p>
    <w:bookmarkEnd w:id="25"/>
    <w:bookmarkStart w:id="26" w:name="itemized-quotation-estimate-breakdown"/>
    <w:p>
      <w:pPr>
        <w:pStyle w:val="Heading2"/>
      </w:pPr>
      <w:r>
        <w:t xml:space="preserve">2. 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(R$)</w:t>
            </w:r>
          </w:p>
        </w:tc>
        <w:tc>
          <w:tcPr/>
          <w:p>
            <w:pPr>
              <w:pStyle w:val="Compact"/>
              <w:jc w:val="left"/>
            </w:pPr>
            <w:r>
              <w:t xml:space="preserve">Subtotal (R$)</w:t>
            </w:r>
          </w:p>
        </w:tc>
      </w:tr>
      <w:tr>
        <w:tc>
          <w:tcPr/>
          <w:p>
            <w:pPr>
              <w:pStyle w:val="Compact"/>
              <w:jc w:val="left"/>
            </w:pPr>
            <w:r>
              <w:t xml:space="preserve">01</w:t>
            </w:r>
          </w:p>
        </w:tc>
        <w:tc>
          <w:tcPr/>
          <w:p>
            <w:pPr>
              <w:pStyle w:val="Compact"/>
              <w:jc w:val="left"/>
            </w:pPr>
            <w:r>
              <w:t xml:space="preserve">Senior Analytical Chemist — Full-time monthly engagement (HPLC, GC, UV-Vis spectroscopy, dissolution testing) at São Paulo laboratory</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Junior Chemist (2 professionals) — Sample preparation, titration, microbiological testing, and routine QC analysis</w:t>
            </w:r>
          </w:p>
        </w:tc>
        <w:tc>
          <w:tcPr/>
          <w:p>
            <w:pPr>
              <w:pStyle w:val="Compact"/>
              <w:jc w:val="left"/>
            </w:pPr>
            <w:r>
              <w:t xml:space="preserve">Month</w:t>
            </w:r>
          </w:p>
        </w:tc>
        <w:tc>
          <w:tcPr/>
          <w:p>
            <w:pPr>
              <w:pStyle w:val="Compact"/>
              <w:jc w:val="left"/>
            </w:pPr>
            <w:r>
              <w:t xml:space="preserve">24</w:t>
            </w:r>
          </w:p>
        </w:tc>
        <w:tc>
          <w:tcPr/>
          <w:p>
            <w:pPr>
              <w:pStyle w:val="Compact"/>
              <w:jc w:val="left"/>
            </w:pPr>
            <w:r>
              <w:t xml:space="preserve">9,200.00</w:t>
            </w:r>
          </w:p>
        </w:tc>
        <w:tc>
          <w:tcPr/>
          <w:p>
            <w:pPr>
              <w:pStyle w:val="Compact"/>
              <w:jc w:val="left"/>
            </w:pPr>
            <w:r>
              <w:t xml:space="preserve">220,800.00</w:t>
            </w:r>
          </w:p>
        </w:tc>
      </w:tr>
      <w:tr>
        <w:tc>
          <w:tcPr/>
          <w:p>
            <w:pPr>
              <w:pStyle w:val="Compact"/>
              <w:jc w:val="left"/>
            </w:pPr>
            <w:r>
              <w:t xml:space="preserve">03</w:t>
            </w:r>
          </w:p>
        </w:tc>
        <w:tc>
          <w:tcPr/>
          <w:p>
            <w:pPr>
              <w:pStyle w:val="Compact"/>
              <w:jc w:val="left"/>
            </w:pPr>
            <w:r>
              <w:t xml:space="preserve">Quality Assurance Chemist — Batch release documentation, deviation management, and ANVISA compliance reporting</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14,800.00</w:t>
            </w:r>
          </w:p>
        </w:tc>
        <w:tc>
          <w:tcPr/>
          <w:p>
            <w:pPr>
              <w:pStyle w:val="Compact"/>
              <w:jc w:val="left"/>
            </w:pPr>
            <w:r>
              <w:t xml:space="preserve">177,600.00</w:t>
            </w:r>
          </w:p>
        </w:tc>
      </w:tr>
      <w:tr>
        <w:tc>
          <w:tcPr/>
          <w:p>
            <w:pPr>
              <w:pStyle w:val="Compact"/>
              <w:jc w:val="left"/>
            </w:pPr>
            <w:r>
              <w:t xml:space="preserve">04</w:t>
            </w:r>
          </w:p>
        </w:tc>
        <w:tc>
          <w:tcPr/>
          <w:p>
            <w:pPr>
              <w:pStyle w:val="Compact"/>
              <w:jc w:val="left"/>
            </w:pPr>
            <w:r>
              <w:t xml:space="preserve">Stability Study Program — ICH-compliant accelerated and long-term stability testing conducted by the Chemist team in São Paulo climate-controlled chambers</w:t>
            </w:r>
          </w:p>
        </w:tc>
        <w:tc>
          <w:tcPr/>
          <w:p>
            <w:pPr>
              <w:pStyle w:val="Compact"/>
              <w:jc w:val="left"/>
            </w:pPr>
            <w:r>
              <w:t xml:space="preserve">Study</w:t>
            </w:r>
          </w:p>
        </w:tc>
        <w:tc>
          <w:tcPr/>
          <w:p>
            <w:pPr>
              <w:pStyle w:val="Compact"/>
              <w:jc w:val="left"/>
            </w:pPr>
            <w:r>
              <w:t xml:space="preserve">4</w:t>
            </w:r>
          </w:p>
        </w:tc>
        <w:tc>
          <w:tcPr/>
          <w:p>
            <w:pPr>
              <w:pStyle w:val="Compact"/>
              <w:jc w:val="left"/>
            </w:pPr>
            <w:r>
              <w:t xml:space="preserve">32,000.00</w:t>
            </w:r>
          </w:p>
        </w:tc>
        <w:tc>
          <w:tcPr/>
          <w:p>
            <w:pPr>
              <w:pStyle w:val="Compact"/>
              <w:jc w:val="left"/>
            </w:pPr>
            <w:r>
              <w:t xml:space="preserve">128,000.00</w:t>
            </w:r>
          </w:p>
        </w:tc>
      </w:tr>
      <w:tr>
        <w:tc>
          <w:tcPr/>
          <w:p>
            <w:pPr>
              <w:pStyle w:val="Compact"/>
              <w:jc w:val="left"/>
            </w:pPr>
            <w:r>
              <w:t xml:space="preserve">05</w:t>
            </w:r>
          </w:p>
        </w:tc>
        <w:tc>
          <w:tcPr/>
          <w:p>
            <w:pPr>
              <w:pStyle w:val="Compact"/>
              <w:jc w:val="left"/>
            </w:pPr>
            <w:r>
              <w:t xml:space="preserve">Method Validation &amp; Transfer — Full validation of 6 analytical methods per ICH Q2(R1) guidelines, performed by the Chemist group</w:t>
            </w:r>
          </w:p>
        </w:tc>
        <w:tc>
          <w:tcPr/>
          <w:p>
            <w:pPr>
              <w:pStyle w:val="Compact"/>
              <w:jc w:val="left"/>
            </w:pPr>
            <w:r>
              <w:t xml:space="preserve">Method</w:t>
            </w:r>
          </w:p>
        </w:tc>
        <w:tc>
          <w:tcPr/>
          <w:p>
            <w:pPr>
              <w:pStyle w:val="Compact"/>
              <w:jc w:val="left"/>
            </w:pPr>
            <w:r>
              <w:t xml:space="preserve">6</w:t>
            </w:r>
          </w:p>
        </w:tc>
        <w:tc>
          <w:tcPr/>
          <w:p>
            <w:pPr>
              <w:pStyle w:val="Compact"/>
              <w:jc w:val="left"/>
            </w:pPr>
            <w:r>
              <w:t xml:space="preserve">12,500.00</w:t>
            </w:r>
          </w:p>
        </w:tc>
        <w:tc>
          <w:tcPr/>
          <w:p>
            <w:pPr>
              <w:pStyle w:val="Compact"/>
              <w:jc w:val="left"/>
            </w:pPr>
            <w:r>
              <w:t xml:space="preserve">75,000.00</w:t>
            </w:r>
          </w:p>
        </w:tc>
      </w:tr>
      <w:tr>
        <w:tc>
          <w:tcPr/>
          <w:p>
            <w:pPr>
              <w:pStyle w:val="Compact"/>
              <w:jc w:val="left"/>
            </w:pPr>
            <w:r>
              <w:t xml:space="preserve">06</w:t>
            </w:r>
          </w:p>
        </w:tc>
        <w:tc>
          <w:tcPr/>
          <w:p>
            <w:pPr>
              <w:pStyle w:val="Compact"/>
              <w:jc w:val="left"/>
            </w:pPr>
            <w:r>
              <w:t xml:space="preserve">Regulatory Dossier Support — Chemist-authored technical documentation for ANVISA product registration and variation filings in Brazil</w:t>
            </w:r>
          </w:p>
        </w:tc>
        <w:tc>
          <w:tcPr/>
          <w:p>
            <w:pPr>
              <w:pStyle w:val="Compact"/>
              <w:jc w:val="left"/>
            </w:pPr>
            <w:r>
              <w:t xml:space="preserve">Lot</w:t>
            </w:r>
          </w:p>
        </w:tc>
        <w:tc>
          <w:tcPr/>
          <w:p>
            <w:pPr>
              <w:pStyle w:val="Compact"/>
              <w:jc w:val="left"/>
            </w:pPr>
            <w:r>
              <w:t xml:space="preserve">3</w:t>
            </w:r>
          </w:p>
        </w:tc>
        <w:tc>
          <w:tcPr/>
          <w:p>
            <w:pPr>
              <w:pStyle w:val="Compact"/>
              <w:jc w:val="left"/>
            </w:pPr>
            <w:r>
              <w:t xml:space="preserve">28,000.00</w:t>
            </w:r>
          </w:p>
        </w:tc>
        <w:tc>
          <w:tcPr/>
          <w:p>
            <w:pPr>
              <w:pStyle w:val="Compact"/>
              <w:jc w:val="left"/>
            </w:pPr>
            <w:r>
              <w:t xml:space="preserve">84,000.00</w:t>
            </w:r>
          </w:p>
        </w:tc>
      </w:tr>
      <w:tr>
        <w:tc>
          <w:tcPr/>
          <w:p>
            <w:pPr>
              <w:pStyle w:val="Compact"/>
              <w:jc w:val="left"/>
            </w:pPr>
            <w:r>
              <w:t xml:space="preserve">07</w:t>
            </w:r>
          </w:p>
        </w:tc>
        <w:tc>
          <w:tcPr/>
          <w:p>
            <w:pPr>
              <w:pStyle w:val="Compact"/>
              <w:jc w:val="left"/>
            </w:pPr>
            <w:r>
              <w:t xml:space="preserve">Consumables, Reagents &amp; Standards — HPLC-grade solvents, reference standards, column replacement, and laboratory consumables for the Chemist operations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7,400.00</w:t>
            </w:r>
          </w:p>
        </w:tc>
        <w:tc>
          <w:tcPr/>
          <w:p>
            <w:pPr>
              <w:pStyle w:val="Compact"/>
              <w:jc w:val="left"/>
            </w:pPr>
            <w:r>
              <w:t xml:space="preserve">88,800.00</w:t>
            </w:r>
          </w:p>
        </w:tc>
      </w:tr>
      <w:tr>
        <w:tc>
          <w:tcPr/>
          <w:p>
            <w:pPr>
              <w:pStyle w:val="Compact"/>
              <w:jc w:val="left"/>
            </w:pPr>
            <w:r>
              <w:t xml:space="preserve">08</w:t>
            </w:r>
          </w:p>
        </w:tc>
        <w:tc>
          <w:tcPr/>
          <w:p>
            <w:pPr>
              <w:pStyle w:val="Compact"/>
              <w:jc w:val="left"/>
            </w:pPr>
            <w:r>
              <w:t xml:space="preserve">Equipment Calibration &amp; Maintenance — Annual calibration of HPLC systems, GC, pH meters, and analytical balances per NIST-traceable protocols in São Paulo</w:t>
            </w:r>
          </w:p>
        </w:tc>
        <w:tc>
          <w:tcPr/>
          <w:p>
            <w:pPr>
              <w:pStyle w:val="Compact"/>
              <w:jc w:val="left"/>
            </w:pPr>
            <w:r>
              <w:t xml:space="preserve">Year</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09</w:t>
            </w:r>
          </w:p>
        </w:tc>
        <w:tc>
          <w:tcPr/>
          <w:p>
            <w:pPr>
              <w:pStyle w:val="Compact"/>
              <w:jc w:val="left"/>
            </w:pPr>
            <w:r>
              <w:t xml:space="preserve">On-site Consultation — Chemist visits to client facility in São Paulo (up to 8 visits per year) for process troubleshooting and GMP audits</w:t>
            </w:r>
          </w:p>
        </w:tc>
        <w:tc>
          <w:tcPr/>
          <w:p>
            <w:pPr>
              <w:pStyle w:val="Compact"/>
              <w:jc w:val="left"/>
            </w:pPr>
            <w:r>
              <w:t xml:space="preserve">Visit</w:t>
            </w:r>
          </w:p>
        </w:tc>
        <w:tc>
          <w:tcPr/>
          <w:p>
            <w:pPr>
              <w:pStyle w:val="Compact"/>
              <w:jc w:val="left"/>
            </w:pPr>
            <w:r>
              <w:t xml:space="preserve">8</w:t>
            </w:r>
          </w:p>
        </w:tc>
        <w:tc>
          <w:tcPr/>
          <w:p>
            <w:pPr>
              <w:pStyle w:val="Compact"/>
              <w:jc w:val="left"/>
            </w:pPr>
            <w:r>
              <w:t xml:space="preserve">3,500.00</w:t>
            </w:r>
          </w:p>
        </w:tc>
        <w:tc>
          <w:tcPr/>
          <w:p>
            <w:pPr>
              <w:pStyle w:val="Compact"/>
              <w:jc w:val="left"/>
            </w:pPr>
            <w:r>
              <w:t xml:space="preserve">28,000.00</w:t>
            </w:r>
          </w:p>
        </w:tc>
      </w:tr>
      <w:tr>
        <w:tc>
          <w:tcPr/>
          <w:p>
            <w:pPr>
              <w:pStyle w:val="Compact"/>
              <w:jc w:val="left"/>
            </w:pPr>
            <w:r>
              <w:t xml:space="preserve">10</w:t>
            </w:r>
          </w:p>
        </w:tc>
        <w:tc>
          <w:tcPr/>
          <w:p>
            <w:pPr>
              <w:pStyle w:val="Compact"/>
              <w:jc w:val="left"/>
            </w:pPr>
            <w:r>
              <w:t xml:space="preserve">Waste Disposal &amp; Environmental Compliance — Proper disposal of chemical waste generated by the Chemist laboratory in accordance with CETESB regulations, São Paulo</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2,800.00</w:t>
            </w:r>
          </w:p>
        </w:tc>
        <w:tc>
          <w:tcPr/>
          <w:p>
            <w:pPr>
              <w:pStyle w:val="Compact"/>
              <w:jc w:val="left"/>
            </w:pPr>
            <w:r>
              <w:t xml:space="preserve">33,600.00</w:t>
            </w:r>
          </w:p>
        </w:tc>
      </w:tr>
      <w:tr>
        <w:tc>
          <w:tcPr>
            <w:gridSpan w:val="5"/>
          </w:tcPr>
          <w:p>
            <w:pPr>
              <w:pStyle w:val="Compact"/>
              <w:jc w:val="left"/>
            </w:pPr>
            <w:r>
              <w:t xml:space="preserve">SUBTOTAL (BRL)</w:t>
            </w:r>
          </w:p>
        </w:tc>
        <w:tc>
          <w:tcPr/>
          <w:p>
            <w:pPr>
              <w:pStyle w:val="Compact"/>
              <w:jc w:val="left"/>
            </w:pPr>
            <w:r>
              <w:t xml:space="preserve">R$ 1,102,800.00</w:t>
            </w:r>
          </w:p>
        </w:tc>
      </w:tr>
      <w:tr>
        <w:tc>
          <w:tcPr>
            <w:gridSpan w:val="5"/>
          </w:tcPr>
          <w:p>
            <w:pPr>
              <w:pStyle w:val="Compact"/>
              <w:jc w:val="left"/>
            </w:pPr>
            <w:r>
              <w:t xml:space="preserve">ICMS (18% — São Paulo State Tax)</w:t>
            </w:r>
          </w:p>
        </w:tc>
        <w:tc>
          <w:tcPr/>
          <w:p>
            <w:pPr>
              <w:pStyle w:val="Compact"/>
              <w:jc w:val="left"/>
            </w:pPr>
            <w:r>
              <w:t xml:space="preserve">R$ 198,504.00</w:t>
            </w:r>
          </w:p>
        </w:tc>
      </w:tr>
      <w:tr>
        <w:tc>
          <w:tcPr>
            <w:gridSpan w:val="5"/>
          </w:tcPr>
          <w:p>
            <w:pPr>
              <w:pStyle w:val="Compact"/>
              <w:jc w:val="left"/>
            </w:pPr>
            <w:r>
              <w:t xml:space="preserve">ISS (5% — São Paulo Municipal Service Tax)</w:t>
            </w:r>
          </w:p>
        </w:tc>
        <w:tc>
          <w:tcPr/>
          <w:p>
            <w:pPr>
              <w:pStyle w:val="Compact"/>
              <w:jc w:val="left"/>
            </w:pPr>
            <w:r>
              <w:t xml:space="preserve">R$ 55,140.00</w:t>
            </w:r>
          </w:p>
        </w:tc>
      </w:tr>
      <w:tr>
        <w:tc>
          <w:tcPr>
            <w:gridSpan w:val="5"/>
          </w:tcPr>
          <w:p>
            <w:pPr>
              <w:pStyle w:val="Compact"/>
              <w:jc w:val="left"/>
            </w:pPr>
            <w:r>
              <w:t xml:space="preserve">TOTAL QUOTATION ESTIMATE (BRL)</w:t>
            </w:r>
          </w:p>
        </w:tc>
        <w:tc>
          <w:tcPr/>
          <w:p>
            <w:pPr>
              <w:pStyle w:val="Compact"/>
              <w:jc w:val="left"/>
            </w:pPr>
            <w:r>
              <w:t xml:space="preserve">R$ 1,356,444.00</w:t>
            </w:r>
          </w:p>
        </w:tc>
      </w:tr>
    </w:tbl>
    <w:bookmarkEnd w:id="26"/>
    <w:bookmarkStart w:id="27" w:name="X985eb999f0cfcda5f1af1a675bf0b7c2e0a6c64"/>
    <w:p>
      <w:pPr>
        <w:pStyle w:val="Heading2"/>
      </w:pPr>
      <w:r>
        <w:t xml:space="preserve">3. Terms and Conditions of This Quotation Estimate</w:t>
      </w:r>
    </w:p>
    <w:p>
      <w:pPr>
        <w:numPr>
          <w:ilvl w:val="0"/>
          <w:numId w:val="1001"/>
        </w:numPr>
        <w:pStyle w:val="Compact"/>
      </w:pPr>
      <w:r>
        <w:t xml:space="preserve">This Quotation Estimate is valid for a period of thirty (30) calendar days from the date of issue. After this period, pricing may be subject to revision due to fluctuations in reagent costs, exchange rates, or regulatory changes in Brazil São Paulo.</w:t>
      </w:r>
    </w:p>
    <w:p>
      <w:pPr>
        <w:numPr>
          <w:ilvl w:val="0"/>
          <w:numId w:val="1001"/>
        </w:numPr>
        <w:pStyle w:val="Compact"/>
      </w:pPr>
      <w:r>
        <w:t xml:space="preserve">All Chemist personnel engaged under this Quotation Estimate are employees of LabQuímica São Paulo Ltda. and are not to be considered agents or representatives of the Client for any purpose.</w:t>
      </w:r>
    </w:p>
    <w:p>
      <w:pPr>
        <w:numPr>
          <w:ilvl w:val="0"/>
          <w:numId w:val="1001"/>
        </w:numPr>
        <w:pStyle w:val="Compact"/>
      </w:pPr>
      <w:r>
        <w:t xml:space="preserve">Payment shall be made via bank transfer (TED/PIX) to the account specified in the invoice, within thirty (30) days from the date of invoice issuance. Late payments shall accrue interest at the rate of 1% per month plus a 2% penalty, in accordance with Brazilian commercial law.</w:t>
      </w:r>
    </w:p>
    <w:p>
      <w:pPr>
        <w:numPr>
          <w:ilvl w:val="0"/>
          <w:numId w:val="1001"/>
        </w:numPr>
        <w:pStyle w:val="Compact"/>
      </w:pPr>
      <w:r>
        <w:t xml:space="preserve">The Chemist services described herein are subject to the Client providing adequate sample materials, raw data, and timely access to production facilities located in São Paulo, Brazil.</w:t>
      </w:r>
    </w:p>
    <w:p>
      <w:pPr>
        <w:numPr>
          <w:ilvl w:val="0"/>
          <w:numId w:val="1001"/>
        </w:numPr>
        <w:pStyle w:val="Compact"/>
      </w:pPr>
      <w:r>
        <w:t xml:space="preserve">All analytical results and reports produced by the Chemist team shall be delivered in both Portuguese and English, formatted in compliance with ANVISA and ICH guidelines.</w:t>
      </w:r>
    </w:p>
    <w:p>
      <w:pPr>
        <w:numPr>
          <w:ilvl w:val="0"/>
          <w:numId w:val="1001"/>
        </w:numPr>
        <w:pStyle w:val="Compact"/>
      </w:pPr>
      <w:r>
        <w:t xml:space="preserve">Confidentiality: All proprietary information, formulations, and data exchanged under this Quotation Estimate shall be treated as strictly confidential by both parties for a period of five (5) years following contract termination.</w:t>
      </w:r>
    </w:p>
    <w:p>
      <w:pPr>
        <w:numPr>
          <w:ilvl w:val="0"/>
          <w:numId w:val="1001"/>
        </w:numPr>
        <w:pStyle w:val="Compact"/>
      </w:pPr>
      <w:r>
        <w:t xml:space="preserve">Force Majeure: Neither party shall be liable for delays or failures in performance resulting from events beyond reasonable control, including but not limited to natural disasters, government actions, or public health emergencies affecting the São Paulo metropolitan region.</w:t>
      </w:r>
    </w:p>
    <w:p>
      <w:pPr>
        <w:numPr>
          <w:ilvl w:val="0"/>
          <w:numId w:val="1001"/>
        </w:numPr>
        <w:pStyle w:val="Compact"/>
      </w:pPr>
      <w:r>
        <w:t xml:space="preserve">This Quotation Estimate does not constitute a binding contract until a formal Service Agreement is executed by both parties. The terms herein are indicative and subject to final negotiation.</w:t>
      </w:r>
    </w:p>
    <w:p>
      <w:pPr>
        <w:numPr>
          <w:ilvl w:val="0"/>
          <w:numId w:val="1001"/>
        </w:numPr>
        <w:pStyle w:val="Compact"/>
      </w:pPr>
      <w:r>
        <w:t xml:space="preserve">Any disputes arising from this Quotation Estimate or the subsequent contract shall be resolved by arbitration in the city of São Paulo, State of São Paulo, Brazil, in accordance with the rules of the CAM-CCBC (Câmara de Arbitragem do Centro de Comércio Brasil-Canadá).</w:t>
      </w:r>
    </w:p>
    <w:p>
      <w:pPr>
        <w:numPr>
          <w:ilvl w:val="0"/>
          <w:numId w:val="1001"/>
        </w:numPr>
        <w:pStyle w:val="Compact"/>
      </w:pPr>
      <w:r>
        <w:t xml:space="preserve">The Chemist team shall maintain full professional liability insurance coverage of no less than R$ 5,000,000.00 throughout the duration of the engagement.</w:t>
      </w:r>
    </w:p>
    <w:p>
      <w:pPr>
        <w:pStyle w:val="FirstParagraph"/>
      </w:pPr>
      <w:r>
        <w:rPr>
          <w:bCs/>
          <w:b/>
        </w:rPr>
        <w:t xml:space="preserve">Note:</w:t>
      </w:r>
      <w:r>
        <w:t xml:space="preserve"> </w:t>
      </w:r>
      <w:r>
        <w:t xml:space="preserve">This Quotation Estimate assumes standard operating hours (Monday to Friday, 08:00–18:00 BRT) for all Chemist services in São Paulo. Overtime, weekend work, or emergency batch release requests will be billed at 1.5x the standard hourly rate and require prior written authorization from the Client's project manager. All prices are quoted in Brazilian Reais (BRL) and are inclusive of the Chemist team's professional fees but exclusive of any applicable federal taxes (PIS/COFINS) unless otherwise stated.</w:t>
      </w:r>
    </w:p>
    <w:bookmarkEnd w:id="27"/>
    <w:bookmarkStart w:id="28" w:name="acceptance-and-authorization"/>
    <w:p>
      <w:pPr>
        <w:pStyle w:val="Heading2"/>
      </w:pPr>
      <w:r>
        <w:t xml:space="preserve">4. Acceptance and Authorization</w:t>
      </w:r>
    </w:p>
    <w:p>
      <w:pPr>
        <w:pStyle w:val="FirstParagraph"/>
      </w:pPr>
      <w:r>
        <w:t xml:space="preserve">By signing below, the Client acknowledges receipt of this Quotation Estimate for Chemist services in Brazil São Paulo and agrees to the terms, conditions, and pricing outlined herein. This signature does not constitute a final contract but serves as an expression of intent to proceed with the formal Service Agreement.</w:t>
      </w:r>
    </w:p>
    <w:p>
      <w:pPr>
        <w:pStyle w:val="BodyText"/>
      </w:pPr>
      <w:r>
        <w:rPr>
          <w:bCs/>
          <w:b/>
        </w:rPr>
        <w:t xml:space="preserve">LabQuímica São Paulo Ltda. (Provider)</w:t>
      </w:r>
      <w:r>
        <w:br/>
      </w:r>
      <w:r>
        <w:t xml:space="preserve">Dr. Ricardo Almeida Santos</w:t>
      </w:r>
      <w:r>
        <w:br/>
      </w:r>
      <w:r>
        <w:t xml:space="preserve">Senior Chemist — CRQ-SP 045678-9</w:t>
      </w:r>
      <w:r>
        <w:br/>
      </w:r>
      <w:r>
        <w:t xml:space="preserve">Date: _______________</w:t>
      </w:r>
    </w:p>
    <w:p>
      <w:pPr>
        <w:pStyle w:val="BodyText"/>
      </w:pPr>
      <w:r>
        <w:rPr>
          <w:bCs/>
          <w:b/>
        </w:rPr>
        <w:t xml:space="preserve">PharmaNova Indústria Farmacêutica S.A. (Client)</w:t>
      </w:r>
      <w:r>
        <w:br/>
      </w:r>
      <w:r>
        <w:t xml:space="preserve">Authorized Representative</w:t>
      </w:r>
      <w:r>
        <w:br/>
      </w:r>
      <w:r>
        <w:t xml:space="preserve">Name: _______________</w:t>
      </w:r>
      <w:r>
        <w:br/>
      </w:r>
      <w:r>
        <w:t xml:space="preserve">Date: _______________</w:t>
      </w:r>
    </w:p>
    <w:p>
      <w:pPr>
        <w:pStyle w:val="BodyText"/>
      </w:pPr>
      <w:r>
        <w:t xml:space="preserve">Quotation Estimate QTE-SP-2025-0472 — LabQuímica São Paulo Ltda. — Av. Paulista, 1578, São Paulo, SP, Brazil</w:t>
      </w:r>
    </w:p>
    <w:p>
      <w:pPr>
        <w:pStyle w:val="BodyText"/>
      </w:pPr>
      <w:r>
        <w:t xml:space="preserve">This document was prepared in accordance with Brazilian commercial standards and ANVISA regulatory requirements. © 2025 LabQuímica São Paulo Ltda.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Chemist Services - Brazil São Paulo</dc:title>
  <dc:creator/>
  <dc:language>en</dc:language>
  <cp:keywords/>
  <dcterms:created xsi:type="dcterms:W3CDTF">2026-10-10T01:22:46Z</dcterms:created>
  <dcterms:modified xsi:type="dcterms:W3CDTF">2026-10-10T01:22:46Z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