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Chemist Services &amp; Pharmaceutical Consulting</w:t>
      </w:r>
    </w:p>
    <w:p>
      <w:pPr>
        <w:pStyle w:val="BodyText"/>
      </w:pPr>
      <w:r>
        <w:t xml:space="preserve">Colombia Medellín</w:t>
      </w:r>
    </w:p>
    <w:bookmarkEnd w:id="20"/>
    <w:p>
      <w:pPr>
        <w:pStyle w:val="BodyText"/>
      </w:pPr>
      <w:r>
        <w:rPr>
          <w:bCs/>
          <w:b/>
        </w:rPr>
        <w:t xml:space="preserve">Provided By:</w:t>
      </w:r>
      <w:r>
        <w:br/>
      </w:r>
      <w:r>
        <w:t xml:space="preserve">Quimifarma Medellín S.A.S.</w:t>
      </w:r>
      <w:r>
        <w:br/>
      </w:r>
      <w:r>
        <w:t xml:space="preserve">Cra. 43A # 48-120, Of. 502</w:t>
      </w:r>
      <w:r>
        <w:br/>
      </w:r>
      <w:r>
        <w:t xml:space="preserve">El Poblado, Medellín, Antioquia</w:t>
      </w:r>
      <w:r>
        <w:br/>
      </w:r>
      <w:r>
        <w:t xml:space="preserve">Colombia</w:t>
      </w:r>
      <w:r>
        <w:br/>
      </w:r>
      <w:r>
        <w:t xml:space="preserve">NIT: 901.234.567-8</w:t>
      </w:r>
      <w:r>
        <w:br/>
      </w:r>
      <w:r>
        <w:t xml:space="preserve">Tel: +57 (604) 444 5566</w:t>
      </w:r>
      <w:r>
        <w:br/>
      </w:r>
      <w:r>
        <w:t xml:space="preserve">Email: quotes@quimifarmamedellin.co</w:t>
      </w:r>
    </w:p>
    <w:p>
      <w:pPr>
        <w:pStyle w:val="BodyText"/>
      </w:pPr>
      <w:r>
        <w:rPr>
          <w:bCs/>
          <w:b/>
        </w:rPr>
        <w:t xml:space="preserve">Prepared For:</w:t>
      </w:r>
      <w:r>
        <w:br/>
      </w:r>
      <w:r>
        <w:t xml:space="preserve">Hospital San Rafael de Antioquia</w:t>
      </w:r>
      <w:r>
        <w:br/>
      </w:r>
      <w:r>
        <w:t xml:space="preserve">Cra. 49 # 52-00</w:t>
      </w:r>
      <w:r>
        <w:br/>
      </w:r>
      <w:r>
        <w:t xml:space="preserve">Medellín, Antioquia</w:t>
      </w:r>
      <w:r>
        <w:br/>
      </w:r>
      <w:r>
        <w:t xml:space="preserve">Colombia</w:t>
      </w:r>
      <w:r>
        <w:br/>
      </w:r>
      <w:r>
        <w:t xml:space="preserve">NIT: 830.112.345-6</w:t>
      </w:r>
      <w:r>
        <w:br/>
      </w:r>
      <w:r>
        <w:t xml:space="preserve">Contact: Dra. María Fernanda López</w:t>
      </w:r>
      <w:r>
        <w:br/>
      </w:r>
      <w:r>
        <w:t xml:space="preserve">Email: m.lopez@hsra.co</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QME-2025-00487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date of issue (expires July 12, 2025)</w:t>
            </w:r>
          </w:p>
        </w:tc>
      </w:tr>
      <w:tr>
        <w:tc>
          <w:tcPr/>
          <w:p>
            <w:pPr>
              <w:pStyle w:val="Compact"/>
              <w:jc w:val="left"/>
            </w:pPr>
            <w:r>
              <w:t xml:space="preserve">Service Location</w:t>
            </w:r>
          </w:p>
        </w:tc>
        <w:tc>
          <w:tcPr/>
          <w:p>
            <w:pPr>
              <w:pStyle w:val="Compact"/>
              <w:jc w:val="left"/>
            </w:pPr>
            <w:r>
              <w:t xml:space="preserve">Medellín, Antioquia, Colombia</w:t>
            </w:r>
          </w:p>
        </w:tc>
      </w:tr>
      <w:tr>
        <w:tc>
          <w:tcPr/>
          <w:p>
            <w:pPr>
              <w:pStyle w:val="Compact"/>
              <w:jc w:val="left"/>
            </w:pPr>
            <w:r>
              <w:t xml:space="preserve">Currency</w:t>
            </w:r>
          </w:p>
        </w:tc>
        <w:tc>
          <w:tcPr/>
          <w:p>
            <w:pPr>
              <w:pStyle w:val="Compact"/>
              <w:jc w:val="left"/>
            </w:pPr>
            <w:r>
              <w:t xml:space="preserve">COP (Colombian Peso) – All amounts inclusive of IVA (19%)</w:t>
            </w:r>
          </w:p>
        </w:tc>
      </w:tr>
      <w:tr>
        <w:tc>
          <w:tcPr/>
          <w:p>
            <w:pPr>
              <w:pStyle w:val="Compact"/>
              <w:jc w:val="left"/>
            </w:pPr>
            <w:r>
              <w:t xml:space="preserve">Project Duration</w:t>
            </w:r>
          </w:p>
        </w:tc>
        <w:tc>
          <w:tcPr/>
          <w:p>
            <w:pPr>
              <w:pStyle w:val="Compact"/>
              <w:jc w:val="left"/>
            </w:pPr>
            <w:r>
              <w:t xml:space="preserve">12 months (July 2025 – June 2026)</w:t>
            </w:r>
          </w:p>
        </w:tc>
      </w:tr>
    </w:tbl>
    <w:bookmarkStart w:id="21" w:name="scope-of-chemist-services"/>
    <w:p>
      <w:pPr>
        <w:pStyle w:val="Heading2"/>
      </w:pPr>
      <w:r>
        <w:t xml:space="preserve">1. Scope of Chemist Services</w:t>
      </w:r>
    </w:p>
    <w:p>
      <w:pPr>
        <w:pStyle w:val="FirstParagraph"/>
      </w:pPr>
      <w:r>
        <w:t xml:space="preserve">This</w:t>
      </w:r>
      <w:r>
        <w:t xml:space="preserve"> </w:t>
      </w:r>
      <w:r>
        <w:t xml:space="preserve">Quotation Estimate</w:t>
      </w:r>
      <w:r>
        <w:t xml:space="preserve"> </w:t>
      </w:r>
      <w:r>
        <w:t xml:space="preserve">is issued by Quimifarma Medellín S.A.S. to provide comprehensive</w:t>
      </w:r>
      <w:r>
        <w:t xml:space="preserve"> </w:t>
      </w:r>
      <w:r>
        <w:t xml:space="preserve">Chemist</w:t>
      </w:r>
      <w:r>
        <w:t xml:space="preserve"> </w:t>
      </w:r>
      <w:r>
        <w:t xml:space="preserve">professional services, pharmaceutical analysis, and regulatory compliance consulting for the facility located in</w:t>
      </w:r>
      <w:r>
        <w:t xml:space="preserve"> </w:t>
      </w:r>
      <w:r>
        <w:t xml:space="preserve">Colombia Medellín</w:t>
      </w:r>
      <w:r>
        <w:t xml:space="preserve">. The scope encompasses the full spectrum of pharmaceutical quality assurance, laboratory testing, drug formulation support, and regulatory affairs management as required by INVIMA (Instituto Nacional de Vigilancia de Medicamentos y Alimentos) and applicable Colombian health regulations.</w:t>
      </w:r>
    </w:p>
    <w:bookmarkEnd w:id="21"/>
    <w:bookmarkStart w:id="22"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Service</w:t>
            </w:r>
          </w:p>
        </w:tc>
        <w:tc>
          <w:tcPr/>
          <w:p>
            <w:pPr>
              <w:pStyle w:val="Compact"/>
              <w:jc w:val="left"/>
            </w:pPr>
            <w:r>
              <w:t xml:space="preserve">Quantity</w:t>
            </w:r>
          </w:p>
        </w:tc>
        <w:tc>
          <w:tcPr/>
          <w:p>
            <w:pPr>
              <w:pStyle w:val="Compact"/>
              <w:jc w:val="left"/>
            </w:pPr>
            <w:r>
              <w:t xml:space="preserve">Unit (COP)</w:t>
            </w:r>
          </w:p>
        </w:tc>
        <w:tc>
          <w:tcPr/>
          <w:p>
            <w:pPr>
              <w:pStyle w:val="Compact"/>
              <w:jc w:val="left"/>
            </w:pPr>
            <w:r>
              <w:t xml:space="preserve">Subtotal (COP)</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 Pharmacist-Chemist on-site supervision for pharmaceutical warehouse and dispensary operations in Medellín</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c>
          <w:tcPr/>
          <w:p>
            <w:pPr>
              <w:pStyle w:val="Compact"/>
              <w:jc w:val="left"/>
            </w:pPr>
            <w:r>
              <w:t xml:space="preserve">Full-time, Mon-Fri, 8:00-17:00</w:t>
            </w:r>
          </w:p>
        </w:tc>
      </w:tr>
      <w:tr>
        <w:tc>
          <w:tcPr/>
          <w:p>
            <w:pPr>
              <w:pStyle w:val="Compact"/>
              <w:jc w:val="left"/>
            </w:pPr>
            <w:r>
              <w:t xml:space="preserve">2</w:t>
            </w:r>
          </w:p>
        </w:tc>
        <w:tc>
          <w:tcPr/>
          <w:p>
            <w:pPr>
              <w:pStyle w:val="Compact"/>
              <w:jc w:val="left"/>
            </w:pPr>
            <w:r>
              <w:t xml:space="preserve">Pharmaceutical quality control laboratory analysis (HPLC, GC, UV-Vis spectroscopy) for incoming drug batches</w:t>
            </w:r>
          </w:p>
        </w:tc>
        <w:tc>
          <w:tcPr/>
          <w:p>
            <w:pPr>
              <w:pStyle w:val="Compact"/>
              <w:jc w:val="left"/>
            </w:pPr>
            <w:r>
              <w:t xml:space="preserve">500 samples</w:t>
            </w:r>
          </w:p>
        </w:tc>
        <w:tc>
          <w:tcPr/>
          <w:p>
            <w:pPr>
              <w:pStyle w:val="Compact"/>
              <w:jc w:val="left"/>
            </w:pPr>
            <w:r>
              <w:t xml:space="preserve">185,000</w:t>
            </w:r>
          </w:p>
        </w:tc>
        <w:tc>
          <w:tcPr/>
          <w:p>
            <w:pPr>
              <w:pStyle w:val="Compact"/>
              <w:jc w:val="left"/>
            </w:pPr>
            <w:r>
              <w:t xml:space="preserve">92,500,000</w:t>
            </w:r>
          </w:p>
        </w:tc>
        <w:tc>
          <w:tcPr/>
          <w:p>
            <w:pPr>
              <w:pStyle w:val="Compact"/>
              <w:jc w:val="left"/>
            </w:pPr>
            <w:r>
              <w:t xml:space="preserve">Per INVIMA Resolution 2024-0312</w:t>
            </w:r>
          </w:p>
        </w:tc>
      </w:tr>
      <w:tr>
        <w:tc>
          <w:tcPr/>
          <w:p>
            <w:pPr>
              <w:pStyle w:val="Compact"/>
              <w:jc w:val="left"/>
            </w:pPr>
            <w:r>
              <w:t xml:space="preserve">3</w:t>
            </w:r>
          </w:p>
        </w:tc>
        <w:tc>
          <w:tcPr/>
          <w:p>
            <w:pPr>
              <w:pStyle w:val="Compact"/>
              <w:jc w:val="left"/>
            </w:pPr>
            <w:r>
              <w:t xml:space="preserve">Stability testing and shelf-life determination for 15 active pharmaceutical ingredients (APIs)</w:t>
            </w:r>
          </w:p>
        </w:tc>
        <w:tc>
          <w:tcPr/>
          <w:p>
            <w:pPr>
              <w:pStyle w:val="Compact"/>
              <w:jc w:val="left"/>
            </w:pPr>
            <w:r>
              <w:t xml:space="preserve">15 APIs</w:t>
            </w:r>
          </w:p>
        </w:tc>
        <w:tc>
          <w:tcPr/>
          <w:p>
            <w:pPr>
              <w:pStyle w:val="Compact"/>
              <w:jc w:val="left"/>
            </w:pPr>
            <w:r>
              <w:t xml:space="preserve">4,200,000</w:t>
            </w:r>
          </w:p>
        </w:tc>
        <w:tc>
          <w:tcPr/>
          <w:p>
            <w:pPr>
              <w:pStyle w:val="Compact"/>
              <w:jc w:val="left"/>
            </w:pPr>
            <w:r>
              <w:t xml:space="preserve">63,000,000</w:t>
            </w:r>
          </w:p>
        </w:tc>
        <w:tc>
          <w:tcPr/>
          <w:p>
            <w:pPr>
              <w:pStyle w:val="Compact"/>
              <w:jc w:val="left"/>
            </w:pPr>
            <w:r>
              <w:t xml:space="preserve">Accelerated &amp; long-term per ICH guidelines</w:t>
            </w:r>
          </w:p>
        </w:tc>
      </w:tr>
      <w:tr>
        <w:tc>
          <w:tcPr/>
          <w:p>
            <w:pPr>
              <w:pStyle w:val="Compact"/>
              <w:jc w:val="left"/>
            </w:pPr>
            <w:r>
              <w:t xml:space="preserve">4</w:t>
            </w:r>
          </w:p>
        </w:tc>
        <w:tc>
          <w:tcPr/>
          <w:p>
            <w:pPr>
              <w:pStyle w:val="Compact"/>
              <w:jc w:val="left"/>
            </w:pPr>
            <w:r>
              <w:t xml:space="preserve">Regulatory compliance audit and documentation review for INVIMA registration renewals</w:t>
            </w:r>
          </w:p>
        </w:tc>
        <w:tc>
          <w:tcPr/>
          <w:p>
            <w:pPr>
              <w:pStyle w:val="Compact"/>
              <w:jc w:val="left"/>
            </w:pPr>
            <w:r>
              <w:t xml:space="preserve">1 project</w:t>
            </w:r>
          </w:p>
        </w:tc>
        <w:tc>
          <w:tcPr/>
          <w:p>
            <w:pPr>
              <w:pStyle w:val="Compact"/>
              <w:jc w:val="left"/>
            </w:pPr>
            <w:r>
              <w:t xml:space="preserve">28,000,000</w:t>
            </w:r>
          </w:p>
        </w:tc>
        <w:tc>
          <w:tcPr/>
          <w:p>
            <w:pPr>
              <w:pStyle w:val="Compact"/>
              <w:jc w:val="left"/>
            </w:pPr>
            <w:r>
              <w:t xml:space="preserve">28,000,000</w:t>
            </w:r>
          </w:p>
        </w:tc>
        <w:tc>
          <w:tcPr/>
          <w:p>
            <w:pPr>
              <w:pStyle w:val="Compact"/>
              <w:jc w:val="left"/>
            </w:pPr>
            <w:r>
              <w:t xml:space="preserve">Includes 3 on-site visits in Medellín</w:t>
            </w:r>
          </w:p>
        </w:tc>
      </w:tr>
      <w:tr>
        <w:tc>
          <w:tcPr/>
          <w:p>
            <w:pPr>
              <w:pStyle w:val="Compact"/>
              <w:jc w:val="left"/>
            </w:pPr>
            <w:r>
              <w:t xml:space="preserve">5</w:t>
            </w:r>
          </w:p>
        </w:tc>
        <w:tc>
          <w:tcPr/>
          <w:p>
            <w:pPr>
              <w:pStyle w:val="Compact"/>
              <w:jc w:val="left"/>
            </w:pPr>
            <w:r>
              <w:t xml:space="preserve">Pharmaceutical waste management consulting and environmental compliance reporting (Colombian Ministry of Environment)</w:t>
            </w:r>
          </w:p>
        </w:tc>
        <w:tc>
          <w:tcPr/>
          <w:p>
            <w:pPr>
              <w:pStyle w:val="Compact"/>
              <w:jc w:val="left"/>
            </w:pPr>
            <w:r>
              <w:t xml:space="preserve">12 months</w:t>
            </w:r>
          </w:p>
        </w:tc>
        <w:tc>
          <w:tcPr/>
          <w:p>
            <w:pPr>
              <w:pStyle w:val="Compact"/>
              <w:jc w:val="left"/>
            </w:pPr>
            <w:r>
              <w:t xml:space="preserve">3,200,000</w:t>
            </w:r>
          </w:p>
        </w:tc>
        <w:tc>
          <w:tcPr/>
          <w:p>
            <w:pPr>
              <w:pStyle w:val="Compact"/>
              <w:jc w:val="left"/>
            </w:pPr>
            <w:r>
              <w:t xml:space="preserve">38,400,000</w:t>
            </w:r>
          </w:p>
        </w:tc>
        <w:tc>
          <w:tcPr/>
          <w:p>
            <w:pPr>
              <w:pStyle w:val="Compact"/>
              <w:jc w:val="left"/>
            </w:pPr>
            <w:r>
              <w:t xml:space="preserve">Monthly reports to CAR Antioquia</w:t>
            </w:r>
          </w:p>
        </w:tc>
      </w:tr>
      <w:tr>
        <w:tc>
          <w:tcPr/>
          <w:p>
            <w:pPr>
              <w:pStyle w:val="Compact"/>
              <w:jc w:val="left"/>
            </w:pPr>
            <w:r>
              <w:t xml:space="preserve">6</w:t>
            </w:r>
          </w:p>
        </w:tc>
        <w:tc>
          <w:tcPr/>
          <w:p>
            <w:pPr>
              <w:pStyle w:val="Compact"/>
              <w:jc w:val="left"/>
            </w:pPr>
            <w:r>
              <w:t xml:space="preserve">Formulation development support for 3 new generic drug products (solid oral dosage forms)</w:t>
            </w:r>
          </w:p>
        </w:tc>
        <w:tc>
          <w:tcPr/>
          <w:p>
            <w:pPr>
              <w:pStyle w:val="Compact"/>
              <w:jc w:val="left"/>
            </w:pPr>
            <w:r>
              <w:t xml:space="preserve">3 products</w:t>
            </w:r>
          </w:p>
        </w:tc>
        <w:tc>
          <w:tcPr/>
          <w:p>
            <w:pPr>
              <w:pStyle w:val="Compact"/>
              <w:jc w:val="left"/>
            </w:pPr>
            <w:r>
              <w:t xml:space="preserve">12,500,000</w:t>
            </w:r>
          </w:p>
        </w:tc>
        <w:tc>
          <w:tcPr/>
          <w:p>
            <w:pPr>
              <w:pStyle w:val="Compact"/>
              <w:jc w:val="left"/>
            </w:pPr>
            <w:r>
              <w:t xml:space="preserve">37,500,000</w:t>
            </w:r>
          </w:p>
        </w:tc>
        <w:tc>
          <w:tcPr/>
          <w:p>
            <w:pPr>
              <w:pStyle w:val="Compact"/>
              <w:jc w:val="left"/>
            </w:pPr>
            <w:r>
              <w:t xml:space="preserve">Includes bioequivalence study coordination</w:t>
            </w:r>
          </w:p>
        </w:tc>
      </w:tr>
      <w:tr>
        <w:tc>
          <w:tcPr/>
          <w:p>
            <w:pPr>
              <w:pStyle w:val="Compact"/>
              <w:jc w:val="left"/>
            </w:pPr>
            <w:r>
              <w:t xml:space="preserve">7</w:t>
            </w:r>
          </w:p>
        </w:tc>
        <w:tc>
          <w:tcPr/>
          <w:p>
            <w:pPr>
              <w:pStyle w:val="Compact"/>
              <w:jc w:val="left"/>
            </w:pPr>
            <w:r>
              <w:t xml:space="preserve">Staff training program: Good Manufacturing Practices (GMP) and pharmacovigilance for 40 hospital personnel</w:t>
            </w:r>
          </w:p>
        </w:tc>
        <w:tc>
          <w:tcPr/>
          <w:p>
            <w:pPr>
              <w:pStyle w:val="Compact"/>
              <w:jc w:val="left"/>
            </w:pPr>
            <w:r>
              <w:t xml:space="preserve">1 program</w:t>
            </w:r>
          </w:p>
        </w:tc>
        <w:tc>
          <w:tcPr/>
          <w:p>
            <w:pPr>
              <w:pStyle w:val="Compact"/>
              <w:jc w:val="left"/>
            </w:pPr>
            <w:r>
              <w:t xml:space="preserve">15,000,000</w:t>
            </w:r>
          </w:p>
        </w:tc>
        <w:tc>
          <w:tcPr/>
          <w:p>
            <w:pPr>
              <w:pStyle w:val="Compact"/>
              <w:jc w:val="left"/>
            </w:pPr>
            <w:r>
              <w:t xml:space="preserve">15,000,000</w:t>
            </w:r>
          </w:p>
        </w:tc>
        <w:tc>
          <w:tcPr/>
          <w:p>
            <w:pPr>
              <w:pStyle w:val="Compact"/>
              <w:jc w:val="left"/>
            </w:pPr>
            <w:r>
              <w:t xml:space="preserve">Delivered in Medellín, 5-day intensive</w:t>
            </w:r>
          </w:p>
        </w:tc>
      </w:tr>
      <w:tr>
        <w:tc>
          <w:tcPr/>
          <w:p>
            <w:pPr>
              <w:pStyle w:val="Compact"/>
              <w:jc w:val="left"/>
            </w:pPr>
            <w:r>
              <w:t xml:space="preserve">8</w:t>
            </w:r>
          </w:p>
        </w:tc>
        <w:tc>
          <w:tcPr/>
          <w:p>
            <w:pPr>
              <w:pStyle w:val="Compact"/>
              <w:jc w:val="left"/>
            </w:pPr>
            <w:r>
              <w:t xml:space="preserve">Emergency Chemist consultation and on-call pharmaceutical support (24/7 coverage)</w:t>
            </w:r>
          </w:p>
        </w:tc>
        <w:tc>
          <w:tcPr/>
          <w:p>
            <w:pPr>
              <w:pStyle w:val="Compact"/>
              <w:jc w:val="left"/>
            </w:pPr>
            <w:r>
              <w:t xml:space="preserve">12 months</w:t>
            </w:r>
          </w:p>
        </w:tc>
        <w:tc>
          <w:tcPr/>
          <w:p>
            <w:pPr>
              <w:pStyle w:val="Compact"/>
              <w:jc w:val="left"/>
            </w:pPr>
            <w:r>
              <w:t xml:space="preserve">1,800,000</w:t>
            </w:r>
          </w:p>
        </w:tc>
        <w:tc>
          <w:tcPr/>
          <w:p>
            <w:pPr>
              <w:pStyle w:val="Compact"/>
              <w:jc w:val="left"/>
            </w:pPr>
            <w:r>
              <w:t xml:space="preserve">21,600,000</w:t>
            </w:r>
          </w:p>
        </w:tc>
        <w:tc>
          <w:tcPr/>
          <w:p>
            <w:pPr>
              <w:pStyle w:val="Compact"/>
              <w:jc w:val="left"/>
            </w:pPr>
            <w:r>
              <w:t xml:space="preserve">Response time: under 2 hours in Medellín metro</w:t>
            </w:r>
          </w:p>
        </w:tc>
      </w:tr>
      <w:tr>
        <w:tc>
          <w:tcPr>
            <w:gridSpan w:val="4"/>
          </w:tcPr>
          <w:p>
            <w:pPr>
              <w:pStyle w:val="Compact"/>
              <w:jc w:val="left"/>
            </w:pPr>
            <w:r>
              <w:t xml:space="preserve">TOTAL QUOTATION ESTIMATE (Inclusive of 19% IVA)</w:t>
            </w:r>
          </w:p>
        </w:tc>
        <w:tc>
          <w:tcPr/>
          <w:p>
            <w:pPr>
              <w:pStyle w:val="Compact"/>
              <w:jc w:val="left"/>
            </w:pPr>
            <w:r>
              <w:t xml:space="preserve">COP 398,000,000</w:t>
            </w:r>
          </w:p>
        </w:tc>
        <w:tc>
          <w:tcPr/>
          <w:p>
            <w:pPr>
              <w:pStyle w:val="Compact"/>
              <w:jc w:val="left"/>
            </w:pPr>
            <w:r>
              <w:t xml:space="preserve">≈ USD 102,500</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all prices and availability of Chemist services are subject to revision due to market fluctuations in pharmaceutical reagents and labor costs in Colombia Medellín.</w:t>
      </w:r>
    </w:p>
    <w:p>
      <w:pPr>
        <w:numPr>
          <w:ilvl w:val="0"/>
          <w:numId w:val="1001"/>
        </w:numPr>
        <w:pStyle w:val="Compact"/>
      </w:pPr>
      <w:r>
        <w:rPr>
          <w:bCs/>
          <w:b/>
        </w:rPr>
        <w:t xml:space="preserve">Payment Terms:</w:t>
      </w:r>
      <w:r>
        <w:t xml:space="preserve"> </w:t>
      </w:r>
      <w:r>
        <w:t xml:space="preserve">40% advance payment upon contract signing; 30% upon completion of the first six (6) months of service delivery; 30% upon final acceptance and delivery of all reports. Payments shall be made via bank transfer to the account specified in the commercial contract.</w:t>
      </w:r>
    </w:p>
    <w:p>
      <w:pPr>
        <w:numPr>
          <w:ilvl w:val="0"/>
          <w:numId w:val="1001"/>
        </w:numPr>
        <w:pStyle w:val="Compact"/>
      </w:pPr>
      <w:r>
        <w:rPr>
          <w:bCs/>
          <w:b/>
        </w:rPr>
        <w:t xml:space="preserve">Delivery and Performance:</w:t>
      </w:r>
      <w:r>
        <w:t xml:space="preserve"> </w:t>
      </w:r>
      <w:r>
        <w:t xml:space="preserve">All Chemist services shall be performed at the client's facility in Medellín, Antioquia, or at Quimifarma Medellín S.A.S. accredited laboratories as mutually agreed. Service commencement is contingent upon full execution of the definitive contract.</w:t>
      </w:r>
    </w:p>
    <w:p>
      <w:pPr>
        <w:numPr>
          <w:ilvl w:val="0"/>
          <w:numId w:val="1001"/>
        </w:numPr>
        <w:pStyle w:val="Compact"/>
      </w:pPr>
      <w:r>
        <w:rPr>
          <w:bCs/>
          <w:b/>
        </w:rPr>
        <w:t xml:space="preserve">Regulatory Compliance:</w:t>
      </w:r>
      <w:r>
        <w:t xml:space="preserve"> </w:t>
      </w:r>
      <w:r>
        <w:t xml:space="preserve">All pharmaceutical analyses, testing, and consulting services shall strictly adhere to Colombian national regulations, INVIMA technical guidelines, ICH Q7/Q8/Q9 standards, and applicable resolutions of the Ministry of Health and Social Protection of Colombia.</w:t>
      </w:r>
    </w:p>
    <w:p>
      <w:pPr>
        <w:numPr>
          <w:ilvl w:val="0"/>
          <w:numId w:val="1001"/>
        </w:numPr>
        <w:pStyle w:val="Compact"/>
      </w:pPr>
      <w:r>
        <w:rPr>
          <w:bCs/>
          <w:b/>
        </w:rPr>
        <w:t xml:space="preserve">Confidentiality:</w:t>
      </w:r>
      <w:r>
        <w:t xml:space="preserve"> </w:t>
      </w:r>
      <w:r>
        <w:t xml:space="preserve">All data, formulations, and proprietary information exchanged during the execution of this Quotation Estimate engagement shall be treated as strictly confidential and protected under Colombian Law 1581 of 2012 (Data Protection) and the applicable commercial confidentiality clauses.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public health emergencies affecting operations in Colombia Medellín.</w:t>
      </w:r>
    </w:p>
    <w:p>
      <w:pPr>
        <w:numPr>
          <w:ilvl w:val="0"/>
          <w:numId w:val="1001"/>
        </w:numPr>
        <w:pStyle w:val="Compact"/>
      </w:pPr>
      <w:r>
        <w:rPr>
          <w:bCs/>
          <w:b/>
        </w:rPr>
        <w:t xml:space="preserve">Warranty:</w:t>
      </w:r>
      <w:r>
        <w:t xml:space="preserve"> </w:t>
      </w:r>
      <w:r>
        <w:t xml:space="preserve">Quimifarma Medellín S.A.S. guarantees that all Chemist professionals assigned to this project hold valid professional licenses (Cédula Profesional) issued by the Colombian Ministry of Health and maintain current continuing education credits.</w:t>
      </w:r>
    </w:p>
    <w:p>
      <w:pPr>
        <w:numPr>
          <w:ilvl w:val="0"/>
          <w:numId w:val="1001"/>
        </w:numPr>
        <w:pStyle w:val="Compact"/>
      </w:pPr>
      <w:r>
        <w:rPr>
          <w:bCs/>
          <w:b/>
        </w:rPr>
        <w:t xml:space="preserve">Dispute Resolution:</w:t>
      </w:r>
      <w:r>
        <w:t xml:space="preserve"> </w:t>
      </w:r>
      <w:r>
        <w:t xml:space="preserve">Any disputes arising from this Quotation Estimate or the subsequent contract shall be resolved through mediation in the city of Medellín, Antioquia, in accordance with Colombian civil and commercial law.</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this Quotation Estimate represents a good-faith offer for the described Chemist services in Colombia Medellín and that acceptance of these terms shall lead to the execution of a definitive commercial contract within fifteen (15) business days.</w:t>
      </w:r>
    </w:p>
    <w:p>
      <w:pPr>
        <w:pStyle w:val="BodyText"/>
      </w:pPr>
      <w:r>
        <w:rPr>
          <w:bCs/>
          <w:b/>
        </w:rPr>
        <w:t xml:space="preserve">For Quimifarma Medellín S.A.S.</w:t>
      </w:r>
      <w:r>
        <w:br/>
      </w:r>
      <w:r>
        <w:t xml:space="preserve">Dr. Carlos Andrés Restrepo M.</w:t>
      </w:r>
      <w:r>
        <w:br/>
      </w:r>
      <w:r>
        <w:t xml:space="preserve">Director General &amp; Licensed Pharmacist-Chemist</w:t>
      </w:r>
      <w:r>
        <w:br/>
      </w:r>
      <w:r>
        <w:t xml:space="preserve">Cédula Profesional No. 045-2019</w:t>
      </w:r>
      <w:r>
        <w:br/>
      </w:r>
      <w:r>
        <w:t xml:space="preserve">Date: _______________</w:t>
      </w:r>
    </w:p>
    <w:p>
      <w:pPr>
        <w:pStyle w:val="BodyText"/>
      </w:pPr>
      <w:r>
        <w:rPr>
          <w:bCs/>
          <w:b/>
        </w:rPr>
        <w:t xml:space="preserve">For Hospital San Rafael de Antioquia</w:t>
      </w:r>
      <w:r>
        <w:br/>
      </w:r>
      <w:r>
        <w:t xml:space="preserve">Dra. María Fernanda López</w:t>
      </w:r>
      <w:r>
        <w:br/>
      </w:r>
      <w:r>
        <w:t xml:space="preserve">Director of Pharmacy &amp; Clinical Services</w:t>
      </w:r>
      <w:r>
        <w:br/>
      </w:r>
      <w:r>
        <w:t xml:space="preserve">NIT: 830.112.345-6</w:t>
      </w:r>
      <w:r>
        <w:br/>
      </w:r>
      <w:r>
        <w:t xml:space="preserve">Date: _______________</w:t>
      </w:r>
    </w:p>
    <w:p>
      <w:pPr>
        <w:pStyle w:val="BodyText"/>
      </w:pPr>
      <w:r>
        <w:t xml:space="preserve">Quimifarma Medellín S.A.S. | Quotation Estimate QME-2025-00487 | Issued in Medellín, Antioquia, Colombia | June 12, 2025</w:t>
      </w:r>
    </w:p>
    <w:p>
      <w:pPr>
        <w:pStyle w:val="BodyText"/>
      </w:pPr>
      <w:r>
        <w:t xml:space="preserve">This document is a Quotation Estimate and does not constitute a binding contract until both parties execute the definitive agreement. All Chemist services are subject to availability and regulatory approval in Colombia Medellín.</w:t>
      </w:r>
    </w:p>
    <w:p>
      <w:pPr>
        <w:pStyle w:val="BodyText"/>
      </w:pPr>
      <w:r>
        <w:t xml:space="preserve">Page 1 of 1 | Confidential – For the exclusive use of the addressee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Colombia Medellín</dc:title>
  <dc:creator/>
  <dc:language>en</dc:language>
  <cp:keywords/>
  <dcterms:created xsi:type="dcterms:W3CDTF">2026-10-10T02:42:31Z</dcterms:created>
  <dcterms:modified xsi:type="dcterms:W3CDTF">2026-10-10T02:42:31Z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