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t xml:space="preserve">Professional Chemist &amp; Pharmaceutical Supply Services</w:t>
      </w:r>
    </w:p>
    <w:p>
      <w:pPr>
        <w:pStyle w:val="BodyText"/>
      </w:pPr>
      <w:r>
        <w:t xml:space="preserve">Cairo, Egypt — Republic of Egypt</w:t>
      </w:r>
    </w:p>
    <w:bookmarkEnd w:id="20"/>
    <w:p>
      <w:pPr>
        <w:pStyle w:val="BodyText"/>
      </w:pPr>
      <w:r>
        <w:rPr>
          <w:bCs/>
          <w:b/>
        </w:rPr>
        <w:t xml:space="preserve">Prepared By:</w:t>
      </w:r>
      <w:r>
        <w:br/>
      </w:r>
      <w:r>
        <w:t xml:space="preserve">Nile Delta Chemist &amp; Pharmaceutical Co.</w:t>
      </w:r>
      <w:r>
        <w:br/>
      </w:r>
      <w:r>
        <w:t xml:space="preserve">42 El Tahrir Street, Downtown District</w:t>
      </w:r>
      <w:r>
        <w:br/>
      </w:r>
      <w:r>
        <w:t xml:space="preserve">Cairo, Egypt 11511</w:t>
      </w:r>
      <w:r>
        <w:br/>
      </w:r>
      <w:r>
        <w:t xml:space="preserve">Tel: +20 2 2578 4432</w:t>
      </w:r>
      <w:r>
        <w:br/>
      </w:r>
      <w:r>
        <w:t xml:space="preserve">Email: quotes@niledeltachemist.eg</w:t>
      </w:r>
      <w:r>
        <w:br/>
      </w:r>
      <w:r>
        <w:t xml:space="preserve">Commercial Reg. No: 104582/EG</w:t>
      </w:r>
    </w:p>
    <w:p>
      <w:pPr>
        <w:pStyle w:val="BodyText"/>
      </w:pPr>
      <w:r>
        <w:rPr>
          <w:bCs/>
          <w:b/>
        </w:rPr>
        <w:t xml:space="preserve">Prepared For:</w:t>
      </w:r>
      <w:r>
        <w:br/>
      </w:r>
      <w:r>
        <w:t xml:space="preserve">Al-Ahli General Hospital</w:t>
      </w:r>
      <w:r>
        <w:br/>
      </w:r>
      <w:r>
        <w:t xml:space="preserve">Pharmacy &amp; Laboratory Department</w:t>
      </w:r>
      <w:r>
        <w:br/>
      </w:r>
      <w:r>
        <w:t xml:space="preserve">15 Abbas El-Akkad Street, Heliopolis</w:t>
      </w:r>
      <w:r>
        <w:br/>
      </w:r>
      <w:r>
        <w:t xml:space="preserve">Cairo, Egypt 11341</w:t>
      </w:r>
      <w:r>
        <w:br/>
      </w:r>
      <w:r>
        <w:t xml:space="preserve">Contact: Dr. Mahmoud El-Sayed</w:t>
      </w:r>
      <w:r>
        <w:br/>
      </w:r>
      <w:r>
        <w:t xml:space="preserve">Tel: +20 2 2415 7789</w:t>
      </w:r>
    </w:p>
    <w:p>
      <w:pPr>
        <w:pStyle w:val="BodyText"/>
      </w:pPr>
      <w:r>
        <w:t xml:space="preserve">Quotation No:</w:t>
      </w:r>
      <w:r>
        <w:t xml:space="preserve"> </w:t>
      </w:r>
      <w:r>
        <w:t xml:space="preserve">QTE-EG-2025-00847</w:t>
      </w:r>
    </w:p>
    <w:p>
      <w:pPr>
        <w:pStyle w:val="BodyText"/>
      </w:pPr>
      <w:r>
        <w:t xml:space="preserve">Date of Issue:</w:t>
      </w:r>
      <w:r>
        <w:t xml:space="preserve"> </w:t>
      </w:r>
      <w:r>
        <w:t xml:space="preserve">14 June 2025</w:t>
      </w:r>
    </w:p>
    <w:p>
      <w:pPr>
        <w:pStyle w:val="BodyText"/>
      </w:pPr>
      <w:r>
        <w:t xml:space="preserve">Valid Until:</w:t>
      </w:r>
      <w:r>
        <w:t xml:space="preserve"> </w:t>
      </w:r>
      <w:r>
        <w:t xml:space="preserve">14 July 2025 (30 days)</w:t>
      </w:r>
    </w:p>
    <w:p>
      <w:pPr>
        <w:pStyle w:val="BodyText"/>
      </w:pPr>
      <w:r>
        <w:t xml:space="preserve">Currency:</w:t>
      </w:r>
      <w:r>
        <w:t xml:space="preserve"> </w:t>
      </w:r>
      <w:r>
        <w:t xml:space="preserve">Egyptian Pound (EGP)</w:t>
      </w:r>
    </w:p>
    <w:bookmarkStart w:id="21" w:name="scope-of-work-description"/>
    <w:p>
      <w:pPr>
        <w:pStyle w:val="Heading2"/>
      </w:pPr>
      <w:r>
        <w:t xml:space="preserve">1. Scope of Work &amp; Description</w:t>
      </w:r>
    </w:p>
    <w:p>
      <w:pPr>
        <w:pStyle w:val="FirstParagraph"/>
      </w:pPr>
      <w:r>
        <w:t xml:space="preserve">This</w:t>
      </w:r>
      <w:r>
        <w:t xml:space="preserve"> </w:t>
      </w:r>
      <w:r>
        <w:t xml:space="preserve">Quotation Estimate</w:t>
      </w:r>
      <w:r>
        <w:t xml:space="preserve"> </w:t>
      </w:r>
      <w:r>
        <w:t xml:space="preserve">is issued by Nile Delta Chemist &amp; Pharmaceutical Co., a licensed and registered</w:t>
      </w:r>
      <w:r>
        <w:t xml:space="preserve"> </w:t>
      </w:r>
      <w:r>
        <w:t xml:space="preserve">Chemist</w:t>
      </w:r>
      <w:r>
        <w:t xml:space="preserve"> </w:t>
      </w:r>
      <w:r>
        <w:t xml:space="preserve">supplier operating in</w:t>
      </w:r>
      <w:r>
        <w:t xml:space="preserve"> </w:t>
      </w:r>
      <w:r>
        <w:t xml:space="preserve">Egypt Cairo</w:t>
      </w:r>
      <w:r>
        <w:t xml:space="preserve">, to provide comprehensive pharmaceutical products, laboratory reagents, diagnostic chemicals, and related professional services to Al-Ahli General Hospital. The scope encompasses the supply of certified chemical compounds, pharmaceutical-grade raw materials, and specialized laboratory consumables in strict compliance with the Egyptian Drug Authority (EDA) regulations and the Egyptian Organization for Standardization and Quality (EOS) standards.</w:t>
      </w:r>
    </w:p>
    <w:p>
      <w:pPr>
        <w:pStyle w:val="BodyText"/>
      </w:pPr>
      <w:r>
        <w:t xml:space="preserve">As a licensed</w:t>
      </w:r>
      <w:r>
        <w:t xml:space="preserve"> </w:t>
      </w:r>
      <w:r>
        <w:t xml:space="preserve">Chemist</w:t>
      </w:r>
      <w:r>
        <w:t xml:space="preserve"> </w:t>
      </w:r>
      <w:r>
        <w:t xml:space="preserve">entity registered with the Egyptian Ministry of Health and Population, our company guarantees that all products listed in this</w:t>
      </w:r>
      <w:r>
        <w:t xml:space="preserve"> </w:t>
      </w:r>
      <w:r>
        <w:t xml:space="preserve">Quotation Estimate</w:t>
      </w:r>
      <w:r>
        <w:t xml:space="preserve"> </w:t>
      </w:r>
      <w:r>
        <w:t xml:space="preserve">meet the pharmacopoeial standards of the Egyptian Pharmacopoeia (EP) and, where applicable, the United States Pharmacopeia (USP) and European Pharmacopoeia (EP) monographs. All shipments will be dispatched from our central warehouse located in the 10th of Ramadan Industrial Zone, Greater Cairo, ensuring timely delivery to any location within</w:t>
      </w:r>
      <w:r>
        <w:t xml:space="preserve"> </w:t>
      </w:r>
      <w:r>
        <w:t xml:space="preserve">Egypt Cairo</w:t>
      </w:r>
      <w:r>
        <w:t xml:space="preserve"> </w:t>
      </w:r>
      <w:r>
        <w:t xml:space="preserve">and its surrounding governorates.</w:t>
      </w:r>
    </w:p>
    <w:bookmarkEnd w:id="21"/>
    <w:bookmarkStart w:id="22" w:name="itemized-quotation-estimate"/>
    <w:p>
      <w:pPr>
        <w:pStyle w:val="Heading2"/>
      </w:pPr>
      <w:r>
        <w:t xml:space="preserve">2. Itemized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Item /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Pharmaceutical-grade Sodium Chloride (NaCl), 99.9% purity, 25 kg industrial bags — EDA certified</w:t>
            </w:r>
          </w:p>
        </w:tc>
        <w:tc>
          <w:tcPr/>
          <w:p>
            <w:pPr>
              <w:pStyle w:val="Compact"/>
              <w:jc w:val="left"/>
            </w:pPr>
            <w:r>
              <w:t xml:space="preserve">Bag</w:t>
            </w:r>
          </w:p>
        </w:tc>
        <w:tc>
          <w:tcPr/>
          <w:p>
            <w:pPr>
              <w:pStyle w:val="Compact"/>
              <w:jc w:val="left"/>
            </w:pPr>
            <w:r>
              <w:t xml:space="preserve">50</w:t>
            </w:r>
          </w:p>
        </w:tc>
        <w:tc>
          <w:tcPr/>
          <w:p>
            <w:pPr>
              <w:pStyle w:val="Compact"/>
              <w:jc w:val="left"/>
            </w:pPr>
            <w:r>
              <w:t xml:space="preserve">1,850.00</w:t>
            </w:r>
          </w:p>
        </w:tc>
        <w:tc>
          <w:tcPr/>
          <w:p>
            <w:pPr>
              <w:pStyle w:val="Compact"/>
              <w:jc w:val="left"/>
            </w:pPr>
            <w:r>
              <w:t xml:space="preserve">92,500.00</w:t>
            </w:r>
          </w:p>
        </w:tc>
      </w:tr>
      <w:tr>
        <w:tc>
          <w:tcPr/>
          <w:p>
            <w:pPr>
              <w:pStyle w:val="Compact"/>
              <w:jc w:val="left"/>
            </w:pPr>
            <w:r>
              <w:t xml:space="preserve">02</w:t>
            </w:r>
          </w:p>
        </w:tc>
        <w:tc>
          <w:tcPr/>
          <w:p>
            <w:pPr>
              <w:pStyle w:val="Compact"/>
              <w:jc w:val="left"/>
            </w:pPr>
            <w:r>
              <w:t xml:space="preserve">Laboratory Reagent Grade Ethanol (96%), 5-liter glass bottles, for analytical and disinfection use</w:t>
            </w:r>
          </w:p>
        </w:tc>
        <w:tc>
          <w:tcPr/>
          <w:p>
            <w:pPr>
              <w:pStyle w:val="Compact"/>
              <w:jc w:val="left"/>
            </w:pPr>
            <w:r>
              <w:t xml:space="preserve">Bottle</w:t>
            </w:r>
          </w:p>
        </w:tc>
        <w:tc>
          <w:tcPr/>
          <w:p>
            <w:pPr>
              <w:pStyle w:val="Compact"/>
              <w:jc w:val="left"/>
            </w:pPr>
            <w:r>
              <w:t xml:space="preserve">200</w:t>
            </w:r>
          </w:p>
        </w:tc>
        <w:tc>
          <w:tcPr/>
          <w:p>
            <w:pPr>
              <w:pStyle w:val="Compact"/>
              <w:jc w:val="left"/>
            </w:pPr>
            <w:r>
              <w:t xml:space="preserve">620.00</w:t>
            </w:r>
          </w:p>
        </w:tc>
        <w:tc>
          <w:tcPr/>
          <w:p>
            <w:pPr>
              <w:pStyle w:val="Compact"/>
              <w:jc w:val="left"/>
            </w:pPr>
            <w:r>
              <w:t xml:space="preserve">124,000.00</w:t>
            </w:r>
          </w:p>
        </w:tc>
      </w:tr>
      <w:tr>
        <w:tc>
          <w:tcPr/>
          <w:p>
            <w:pPr>
              <w:pStyle w:val="Compact"/>
              <w:jc w:val="left"/>
            </w:pPr>
            <w:r>
              <w:t xml:space="preserve">03</w:t>
            </w:r>
          </w:p>
        </w:tc>
        <w:tc>
          <w:tcPr/>
          <w:p>
            <w:pPr>
              <w:pStyle w:val="Compact"/>
              <w:jc w:val="left"/>
            </w:pPr>
            <w:r>
              <w:t xml:space="preserve">Chemist-supplied Diagnostic Chemical Kit (Complete Blood Count reagents), 12-month shelf life</w:t>
            </w:r>
          </w:p>
        </w:tc>
        <w:tc>
          <w:tcPr/>
          <w:p>
            <w:pPr>
              <w:pStyle w:val="Compact"/>
              <w:jc w:val="left"/>
            </w:pPr>
            <w:r>
              <w:t xml:space="preserve">Kit</w:t>
            </w:r>
          </w:p>
        </w:tc>
        <w:tc>
          <w:tcPr/>
          <w:p>
            <w:pPr>
              <w:pStyle w:val="Compact"/>
              <w:jc w:val="left"/>
            </w:pPr>
            <w:r>
              <w:t xml:space="preserve">80</w:t>
            </w:r>
          </w:p>
        </w:tc>
        <w:tc>
          <w:tcPr/>
          <w:p>
            <w:pPr>
              <w:pStyle w:val="Compact"/>
              <w:jc w:val="left"/>
            </w:pPr>
            <w:r>
              <w:t xml:space="preserve">4,350.00</w:t>
            </w:r>
          </w:p>
        </w:tc>
        <w:tc>
          <w:tcPr/>
          <w:p>
            <w:pPr>
              <w:pStyle w:val="Compact"/>
              <w:jc w:val="left"/>
            </w:pPr>
            <w:r>
              <w:t xml:space="preserve">348,000.00</w:t>
            </w:r>
          </w:p>
        </w:tc>
      </w:tr>
      <w:tr>
        <w:tc>
          <w:tcPr/>
          <w:p>
            <w:pPr>
              <w:pStyle w:val="Compact"/>
              <w:jc w:val="left"/>
            </w:pPr>
            <w:r>
              <w:t xml:space="preserve">04</w:t>
            </w:r>
          </w:p>
        </w:tc>
        <w:tc>
          <w:tcPr/>
          <w:p>
            <w:pPr>
              <w:pStyle w:val="Compact"/>
              <w:jc w:val="left"/>
            </w:pPr>
            <w:r>
              <w:t xml:space="preserve">Pharmaceutical Excipients Bundle (Microcrystalline Cellulose, Lactose Monohydrate, Magnesium Stearate) — 10 kg each</w:t>
            </w:r>
          </w:p>
        </w:tc>
        <w:tc>
          <w:tcPr/>
          <w:p>
            <w:pPr>
              <w:pStyle w:val="Compact"/>
              <w:jc w:val="left"/>
            </w:pPr>
            <w:r>
              <w:t xml:space="preserve">Set</w:t>
            </w:r>
          </w:p>
        </w:tc>
        <w:tc>
          <w:tcPr/>
          <w:p>
            <w:pPr>
              <w:pStyle w:val="Compact"/>
              <w:jc w:val="left"/>
            </w:pPr>
            <w:r>
              <w:t xml:space="preserve">30</w:t>
            </w:r>
          </w:p>
        </w:tc>
        <w:tc>
          <w:tcPr/>
          <w:p>
            <w:pPr>
              <w:pStyle w:val="Compact"/>
              <w:jc w:val="left"/>
            </w:pPr>
            <w:r>
              <w:t xml:space="preserve">7,200.00</w:t>
            </w:r>
          </w:p>
        </w:tc>
        <w:tc>
          <w:tcPr/>
          <w:p>
            <w:pPr>
              <w:pStyle w:val="Compact"/>
              <w:jc w:val="left"/>
            </w:pPr>
            <w:r>
              <w:t xml:space="preserve">216,000.00</w:t>
            </w:r>
          </w:p>
        </w:tc>
      </w:tr>
      <w:tr>
        <w:tc>
          <w:tcPr/>
          <w:p>
            <w:pPr>
              <w:pStyle w:val="Compact"/>
              <w:jc w:val="left"/>
            </w:pPr>
            <w:r>
              <w:t xml:space="preserve">05</w:t>
            </w:r>
          </w:p>
        </w:tc>
        <w:tc>
          <w:tcPr/>
          <w:p>
            <w:pPr>
              <w:pStyle w:val="Compact"/>
              <w:jc w:val="left"/>
            </w:pPr>
            <w:r>
              <w:t xml:space="preserve">Professional Chemist Consultation &amp; Quality Assurance Audit (on-site, Cairo location) — 3 days</w:t>
            </w:r>
          </w:p>
        </w:tc>
        <w:tc>
          <w:tcPr/>
          <w:p>
            <w:pPr>
              <w:pStyle w:val="Compact"/>
              <w:jc w:val="left"/>
            </w:pPr>
            <w:r>
              <w:t xml:space="preserve">Day</w:t>
            </w:r>
          </w:p>
        </w:tc>
        <w:tc>
          <w:tcPr/>
          <w:p>
            <w:pPr>
              <w:pStyle w:val="Compact"/>
              <w:jc w:val="left"/>
            </w:pPr>
            <w:r>
              <w:t xml:space="preserve">3</w:t>
            </w:r>
          </w:p>
        </w:tc>
        <w:tc>
          <w:tcPr/>
          <w:p>
            <w:pPr>
              <w:pStyle w:val="Compact"/>
              <w:jc w:val="left"/>
            </w:pPr>
            <w:r>
              <w:t xml:space="preserve">12,500.00</w:t>
            </w:r>
          </w:p>
        </w:tc>
        <w:tc>
          <w:tcPr/>
          <w:p>
            <w:pPr>
              <w:pStyle w:val="Compact"/>
              <w:jc w:val="left"/>
            </w:pPr>
            <w:r>
              <w:t xml:space="preserve">37,500.00</w:t>
            </w:r>
          </w:p>
        </w:tc>
      </w:tr>
      <w:tr>
        <w:tc>
          <w:tcPr/>
          <w:p>
            <w:pPr>
              <w:pStyle w:val="Compact"/>
              <w:jc w:val="left"/>
            </w:pPr>
            <w:r>
              <w:t xml:space="preserve">06</w:t>
            </w:r>
          </w:p>
        </w:tc>
        <w:tc>
          <w:tcPr/>
          <w:p>
            <w:pPr>
              <w:pStyle w:val="Compact"/>
              <w:jc w:val="left"/>
            </w:pPr>
            <w:r>
              <w:t xml:space="preserve">Temperature-Controlled Logistics &amp; Delivery within Egypt Cairo metropolitan area (cold chain 2–8°C)</w:t>
            </w:r>
          </w:p>
        </w:tc>
        <w:tc>
          <w:tcPr/>
          <w:p>
            <w:pPr>
              <w:pStyle w:val="Compact"/>
              <w:jc w:val="left"/>
            </w:pPr>
            <w:r>
              <w:t xml:space="preserve">Shipment</w:t>
            </w:r>
          </w:p>
        </w:tc>
        <w:tc>
          <w:tcPr/>
          <w:p>
            <w:pPr>
              <w:pStyle w:val="Compact"/>
              <w:jc w:val="left"/>
            </w:pPr>
            <w:r>
              <w:t xml:space="preserve">12</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07</w:t>
            </w:r>
          </w:p>
        </w:tc>
        <w:tc>
          <w:tcPr/>
          <w:p>
            <w:pPr>
              <w:pStyle w:val="Compact"/>
              <w:jc w:val="left"/>
            </w:pPr>
            <w:r>
              <w:t xml:space="preserve">Regulatory Documentation &amp; EDA Compliance Filing for imported chemical compounds</w:t>
            </w:r>
          </w:p>
        </w:tc>
        <w:tc>
          <w:tcPr/>
          <w:p>
            <w:pPr>
              <w:pStyle w:val="Compact"/>
              <w:jc w:val="left"/>
            </w:pPr>
            <w:r>
              <w:t xml:space="preserve">Lot</w:t>
            </w:r>
          </w:p>
        </w:tc>
        <w:tc>
          <w:tcPr/>
          <w:p>
            <w:pPr>
              <w:pStyle w:val="Compact"/>
              <w:jc w:val="left"/>
            </w:pPr>
            <w:r>
              <w:t xml:space="preserve">6</w:t>
            </w:r>
          </w:p>
        </w:tc>
        <w:tc>
          <w:tcPr/>
          <w:p>
            <w:pPr>
              <w:pStyle w:val="Compact"/>
              <w:jc w:val="left"/>
            </w:pPr>
            <w:r>
              <w:t xml:space="preserve">5,400.00</w:t>
            </w:r>
          </w:p>
        </w:tc>
        <w:tc>
          <w:tcPr/>
          <w:p>
            <w:pPr>
              <w:pStyle w:val="Compact"/>
              <w:jc w:val="left"/>
            </w:pPr>
            <w:r>
              <w:t xml:space="preserve">32,400.00</w:t>
            </w:r>
          </w:p>
        </w:tc>
      </w:tr>
      <w:tr>
        <w:tc>
          <w:tcPr/>
          <w:p>
            <w:pPr>
              <w:pStyle w:val="Compact"/>
              <w:jc w:val="left"/>
            </w:pPr>
            <w:r>
              <w:t xml:space="preserve">08</w:t>
            </w:r>
          </w:p>
        </w:tc>
        <w:tc>
          <w:tcPr/>
          <w:p>
            <w:pPr>
              <w:pStyle w:val="Compact"/>
              <w:jc w:val="left"/>
            </w:pPr>
            <w:r>
              <w:t xml:space="preserve">Annual Maintenance &amp; Calibration of Laboratory Chemical Storage Units (Cairo facility)</w:t>
            </w:r>
          </w:p>
        </w:tc>
        <w:tc>
          <w:tcPr/>
          <w:p>
            <w:pPr>
              <w:pStyle w:val="Compact"/>
              <w:jc w:val="left"/>
            </w:pPr>
            <w:r>
              <w:t xml:space="preserve">Year</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gridSpan w:val="5"/>
          </w:tcPr>
          <w:p>
            <w:pPr>
              <w:pStyle w:val="Compact"/>
              <w:jc w:val="right"/>
            </w:pPr>
            <w:r>
              <w:t xml:space="preserve">Subtotal</w:t>
            </w:r>
          </w:p>
        </w:tc>
        <w:tc>
          <w:tcPr/>
          <w:p>
            <w:pPr>
              <w:pStyle w:val="Compact"/>
              <w:jc w:val="left"/>
            </w:pPr>
            <w:r>
              <w:t xml:space="preserve">924,000.00</w:t>
            </w:r>
          </w:p>
        </w:tc>
      </w:tr>
      <w:tr>
        <w:tc>
          <w:tcPr>
            <w:gridSpan w:val="5"/>
          </w:tcPr>
          <w:p>
            <w:pPr>
              <w:pStyle w:val="Compact"/>
              <w:jc w:val="right"/>
            </w:pPr>
            <w:r>
              <w:t xml:space="preserve">VAT (14% — Egyptian Tax Authority)</w:t>
            </w:r>
          </w:p>
        </w:tc>
        <w:tc>
          <w:tcPr/>
          <w:p>
            <w:pPr>
              <w:pStyle w:val="Compact"/>
              <w:jc w:val="left"/>
            </w:pPr>
            <w:r>
              <w:t xml:space="preserve">129,360.00</w:t>
            </w:r>
          </w:p>
        </w:tc>
      </w:tr>
      <w:tr>
        <w:tc>
          <w:tcPr>
            <w:gridSpan w:val="5"/>
          </w:tcPr>
          <w:p>
            <w:pPr>
              <w:pStyle w:val="Compact"/>
              <w:jc w:val="right"/>
            </w:pPr>
            <w:r>
              <w:rPr>
                <w:bCs/>
                <w:b/>
              </w:rPr>
              <w:t xml:space="preserve">GRAND TOTAL (EGP)</w:t>
            </w:r>
          </w:p>
        </w:tc>
        <w:tc>
          <w:tcPr/>
          <w:p>
            <w:pPr>
              <w:pStyle w:val="Compact"/>
              <w:jc w:val="left"/>
            </w:pPr>
            <w:r>
              <w:rPr>
                <w:bCs/>
                <w:b/>
              </w:rPr>
              <w:t xml:space="preserve">1,053,360.00</w:t>
            </w:r>
          </w:p>
        </w:tc>
      </w:tr>
    </w:tbl>
    <w:bookmarkEnd w:id="22"/>
    <w:bookmarkStart w:id="23" w:name="X06f751c0fef37426aad28df54ec1acd620508e5"/>
    <w:p>
      <w:pPr>
        <w:pStyle w:val="Heading2"/>
      </w:pPr>
      <w:r>
        <w:t xml:space="preserve">3. Terms &amp;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expiry date, prices are subject to revision based on current market rates in Egypt Cairo and fluctuations in the Egyptian Pound exchange rate.</w:t>
      </w:r>
    </w:p>
    <w:p>
      <w:pPr>
        <w:numPr>
          <w:ilvl w:val="0"/>
          <w:numId w:val="1001"/>
        </w:numPr>
        <w:pStyle w:val="Compact"/>
      </w:pPr>
      <w:r>
        <w:rPr>
          <w:bCs/>
          <w:b/>
        </w:rPr>
        <w:t xml:space="preserve">Payment Terms:</w:t>
      </w:r>
      <w:r>
        <w:t xml:space="preserve"> </w:t>
      </w:r>
      <w:r>
        <w:t xml:space="preserve">40% advance payment upon order confirmation; 60% balance due within fifteen (15) business days of successful delivery and acceptance at the client's Cairo premises. Payment shall be made via bank transfer to the company's account at National Bank of Egypt, Cairo branch.</w:t>
      </w:r>
    </w:p>
    <w:p>
      <w:pPr>
        <w:numPr>
          <w:ilvl w:val="0"/>
          <w:numId w:val="1001"/>
        </w:numPr>
        <w:pStyle w:val="Compact"/>
      </w:pPr>
      <w:r>
        <w:rPr>
          <w:bCs/>
          <w:b/>
        </w:rPr>
        <w:t xml:space="preserve">Delivery:</w:t>
      </w:r>
      <w:r>
        <w:t xml:space="preserve"> </w:t>
      </w:r>
      <w:r>
        <w:t xml:space="preserve">All items will be delivered to the designated location within Egypt Cairo within ten (10) business days of receiving the confirmed purchase order. Cold-chain items will be transported in validated insulated vehicles with continuous temperature logging.</w:t>
      </w:r>
    </w:p>
    <w:p>
      <w:pPr>
        <w:numPr>
          <w:ilvl w:val="0"/>
          <w:numId w:val="1001"/>
        </w:numPr>
        <w:pStyle w:val="Compact"/>
      </w:pPr>
      <w:r>
        <w:rPr>
          <w:bCs/>
          <w:b/>
        </w:rPr>
        <w:t xml:space="preserve">Quality Assurance:</w:t>
      </w:r>
      <w:r>
        <w:t xml:space="preserve"> </w:t>
      </w:r>
      <w:r>
        <w:t xml:space="preserve">Every batch of chemical or pharmaceutical product supplied by our Chemist team will be accompanied by a Certificate of Analysis (CoA), Certificate of Origin, and, where required, a free-sale certificate. The client reserves the right to reject any lot that fails to meet the specified pharmacopoeial standards.</w:t>
      </w:r>
    </w:p>
    <w:p>
      <w:pPr>
        <w:numPr>
          <w:ilvl w:val="0"/>
          <w:numId w:val="1001"/>
        </w:numPr>
        <w:pStyle w:val="Compact"/>
      </w:pPr>
      <w:r>
        <w:rPr>
          <w:bCs/>
          <w:b/>
        </w:rPr>
        <w:t xml:space="preserve">Regulatory Compliance:</w:t>
      </w:r>
      <w:r>
        <w:t xml:space="preserve"> </w:t>
      </w:r>
      <w:r>
        <w:t xml:space="preserve">All products and services described in this Quotation Estimate are provided in full compliance with the Egyptian Drug Authority (EDA) licensing requirements, the Egyptian Environmental Affairs Agency (EEAA) hazardous material handling protocols, and the Egyptian Occupational Health and Safety regulations applicable in Cairo.</w:t>
      </w:r>
    </w:p>
    <w:p>
      <w:pPr>
        <w:numPr>
          <w:ilvl w:val="0"/>
          <w:numId w:val="1001"/>
        </w:numPr>
        <w:pStyle w:val="Compact"/>
      </w:pPr>
      <w:r>
        <w:rPr>
          <w:bCs/>
          <w:b/>
        </w:rPr>
        <w:t xml:space="preserve">Warranty:</w:t>
      </w:r>
      <w:r>
        <w:t xml:space="preserve"> </w:t>
      </w:r>
      <w:r>
        <w:t xml:space="preserve">A twelve-month warranty is provided on all laboratory equipment and storage units. Pharmaceutical and chemical products carry a minimum shelf life of eighteen (18) months from the date of manufacture at the time of delivery.</w:t>
      </w:r>
    </w:p>
    <w:p>
      <w:pPr>
        <w:numPr>
          <w:ilvl w:val="0"/>
          <w:numId w:val="1001"/>
        </w:numPr>
        <w:pStyle w:val="Compact"/>
      </w:pPr>
      <w:r>
        <w:rPr>
          <w:bCs/>
          <w:b/>
        </w:rPr>
        <w:t xml:space="preserve">Force Majeure:</w:t>
      </w:r>
      <w:r>
        <w:t xml:space="preserve"> </w:t>
      </w:r>
      <w:r>
        <w:t xml:space="preserve">Neither party shall be held liable for delays or non-performance resulting from events beyond reasonable control, including but not limited to government-mandated closures, natural disasters, or national emergencies declared in Egypt.</w:t>
      </w:r>
    </w:p>
    <w:p>
      <w:pPr>
        <w:numPr>
          <w:ilvl w:val="0"/>
          <w:numId w:val="1001"/>
        </w:numPr>
        <w:pStyle w:val="Compact"/>
      </w:pPr>
      <w:r>
        <w:rPr>
          <w:bCs/>
          <w:b/>
        </w:rPr>
        <w:t xml:space="preserve">Governing Law:</w:t>
      </w:r>
      <w:r>
        <w:t xml:space="preserve"> </w:t>
      </w:r>
      <w:r>
        <w:t xml:space="preserve">This Quotation Estimate and any subsequent contract shall be governed by and interpreted in accordance with the laws of the Arab Republic of Egypt. Any disputes shall be resolved through the competent courts in Cairo, Egypt.</w:t>
      </w:r>
    </w:p>
    <w:bookmarkEnd w:id="23"/>
    <w:bookmarkStart w:id="24" w:name="additional-notes-for-the-client"/>
    <w:p>
      <w:pPr>
        <w:pStyle w:val="Heading2"/>
      </w:pPr>
      <w:r>
        <w:t xml:space="preserve">4. Additional Notes for the Client</w:t>
      </w:r>
    </w:p>
    <w:p>
      <w:pPr>
        <w:pStyle w:val="FirstParagraph"/>
      </w:pPr>
      <w:r>
        <w:t xml:space="preserve">As a licensed</w:t>
      </w:r>
      <w:r>
        <w:t xml:space="preserve"> </w:t>
      </w:r>
      <w:r>
        <w:t xml:space="preserve">Chemist</w:t>
      </w:r>
      <w:r>
        <w:t xml:space="preserve"> </w:t>
      </w:r>
      <w:r>
        <w:t xml:space="preserve">supplier with over fifteen years of operational experience in</w:t>
      </w:r>
      <w:r>
        <w:t xml:space="preserve"> </w:t>
      </w:r>
      <w:r>
        <w:t xml:space="preserve">Egypt Cairo</w:t>
      </w:r>
      <w:r>
        <w:t xml:space="preserve">, Nile Delta Chemist &amp; Pharmaceutical Co. is committed to maintaining the highest standards of product integrity, regulatory compliance, and client service. This</w:t>
      </w:r>
      <w:r>
        <w:t xml:space="preserve"> </w:t>
      </w:r>
      <w:r>
        <w:t xml:space="preserve">Quotation Estimate</w:t>
      </w:r>
      <w:r>
        <w:t xml:space="preserve"> </w:t>
      </w:r>
      <w:r>
        <w:t xml:space="preserve">reflects our best and final pricing for the items and services enumerated above. Should the client require any modifications to the scope, quantities, or delivery schedule, our Cairo-based account management team is available to issue a revised Quotation Estimate within forty-eight (48) hours of receiving a written request.</w:t>
      </w:r>
    </w:p>
    <w:p>
      <w:pPr>
        <w:pStyle w:val="BodyText"/>
      </w:pPr>
      <w:r>
        <w:t xml:space="preserve">All chemical and pharmaceutical products listed herein are sourced from GMP-certified manufacturers and are subject to incoming quality inspection by our in-house Chemist laboratory before dispatch. We maintain a dedicated cold-storage facility in the 10th of Ramadan City, Greater Cairo, to ensure the stability of temperature-sensitive compounds throughout the supply chain.</w:t>
      </w:r>
    </w:p>
    <w:bookmarkEnd w:id="24"/>
    <w:bookmarkStart w:id="25" w:name="acceptance-authorization"/>
    <w:p>
      <w:pPr>
        <w:pStyle w:val="Heading2"/>
      </w:pPr>
      <w:r>
        <w:t xml:space="preserve">5. Acceptance &amp; Authorization</w:t>
      </w:r>
    </w:p>
    <w:p>
      <w:pPr>
        <w:pStyle w:val="FirstParagraph"/>
      </w:pPr>
      <w:r>
        <w:t xml:space="preserve">By signing below, both parties acknowledge that they have read, understood, and agree to the terms, conditions, and pricing outlined in this Quotation Estimate. This document does not constitute a binding purchase order until a formal Purchase Order (PO) is issued by the client referencing this Quotation Estimate number (QTE-EG-2025-00847).</w:t>
      </w:r>
    </w:p>
    <w:p>
      <w:pPr>
        <w:pStyle w:val="BodyText"/>
      </w:pPr>
      <w:r>
        <w:rPr>
          <w:bCs/>
          <w:b/>
        </w:rPr>
        <w:t xml:space="preserve">For Nile Delta Chemist &amp; Pharmaceutical Co.</w:t>
      </w:r>
      <w:r>
        <w:br/>
      </w:r>
      <w:r>
        <w:t xml:space="preserve">Name: Dr. Hanaa El-Farouk, Chief Chemist &amp; Managing Director</w:t>
      </w:r>
      <w:r>
        <w:br/>
      </w:r>
      <w:r>
        <w:t xml:space="preserve">Signature &amp; Company Seal</w:t>
      </w:r>
      <w:r>
        <w:br/>
      </w:r>
      <w:r>
        <w:t xml:space="preserve">Date: _______________</w:t>
      </w:r>
    </w:p>
    <w:p>
      <w:pPr>
        <w:pStyle w:val="BodyText"/>
      </w:pPr>
      <w:r>
        <w:rPr>
          <w:bCs/>
          <w:b/>
        </w:rPr>
        <w:t xml:space="preserve">For Al-Ahli General Hospital</w:t>
      </w:r>
      <w:r>
        <w:br/>
      </w:r>
      <w:r>
        <w:t xml:space="preserve">Name: Dr. Mahmoud El-Sayed, Head of Pharmacy &amp; Laboratory</w:t>
      </w:r>
      <w:r>
        <w:br/>
      </w:r>
      <w:r>
        <w:t xml:space="preserve">Signature &amp; Company Seal</w:t>
      </w:r>
      <w:r>
        <w:br/>
      </w:r>
      <w:r>
        <w:t xml:space="preserve">Date: _______________</w:t>
      </w:r>
    </w:p>
    <w:p>
      <w:pPr>
        <w:pStyle w:val="BodyText"/>
      </w:pPr>
      <w:r>
        <w:t xml:space="preserve">This Quotation Estimate was prepared by Nile Delta Chemist &amp; Pharmaceutical Co., a registered Chemist and pharmaceutical supply company in Egypt Cairo.</w:t>
      </w:r>
      <w:r>
        <w:br/>
      </w:r>
      <w:r>
        <w:t xml:space="preserve">Document Ref: QTE-EG-2025-00847 | Page 1 of 1 | Confidential — For the exclusive use of the addressee.</w:t>
      </w:r>
      <w:r>
        <w:br/>
      </w:r>
      <w:r>
        <w:t xml:space="preserve">© 2025 Nile Delta Chemist &amp; Pharmaceutical Co.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Egypt Cairo</dc:title>
  <dc:creator/>
  <dc:language>en</dc:language>
  <cp:keywords/>
  <dcterms:created xsi:type="dcterms:W3CDTF">2026-10-10T01:12:31Z</dcterms:created>
  <dcterms:modified xsi:type="dcterms:W3CDTF">2026-10-10T01:12:31Z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