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Chemist</w:t>
      </w:r>
      <w:r>
        <w:t xml:space="preserve"> </w:t>
      </w:r>
      <w:r>
        <w:t xml:space="preserve">Services</w:t>
      </w:r>
      <w:r>
        <w:t xml:space="preserve"> </w:t>
      </w:r>
      <w:r>
        <w:t xml:space="preserve">-</w:t>
      </w:r>
      <w:r>
        <w:t xml:space="preserve"> </w:t>
      </w:r>
      <w:r>
        <w:t xml:space="preserve">Japan</w:t>
      </w:r>
      <w:r>
        <w:t xml:space="preserve"> </w:t>
      </w:r>
      <w:r>
        <w:t xml:space="preserve">Kyoto</w:t>
      </w:r>
    </w:p>
    <w:bookmarkStart w:id="20" w:name="kyoto-precision-chemistry-laboratory"/>
    <w:p>
      <w:pPr>
        <w:pStyle w:val="Heading1"/>
      </w:pPr>
      <w:r>
        <w:t xml:space="preserve">Kyoto Precision Chemistry Laboratory</w:t>
      </w:r>
    </w:p>
    <w:p>
      <w:pPr>
        <w:pStyle w:val="FirstParagraph"/>
      </w:pPr>
      <w:r>
        <w:t xml:space="preserve">12-34 Higashiyama-ku, Kyoto 605-0001, Japan</w:t>
      </w:r>
    </w:p>
    <w:p>
      <w:pPr>
        <w:pStyle w:val="BodyText"/>
      </w:pPr>
      <w:r>
        <w:t xml:space="preserve">Tel: +81-75-123-4567 | Email: info@kyoto-precision-chem.jp</w:t>
      </w:r>
    </w:p>
    <w:p>
      <w:pPr>
        <w:pStyle w:val="BodyText"/>
      </w:pPr>
      <w:r>
        <w:t xml:space="preserve">Corporate Registration No: 4010401012345</w:t>
      </w:r>
    </w:p>
    <w:bookmarkEnd w:id="20"/>
    <w:bookmarkStart w:id="21" w:name="quotation-estimate"/>
    <w:p>
      <w:pPr>
        <w:pStyle w:val="Heading2"/>
      </w:pPr>
      <w:r>
        <w:t xml:space="preserve">QUOTATION ESTIMATE</w:t>
      </w:r>
    </w:p>
    <w:p>
      <w:pPr>
        <w:pStyle w:val="FirstParagraph"/>
      </w:pPr>
      <w:r>
        <w:t xml:space="preserve">Reference No: QTE-KYO-2025-00847</w:t>
      </w:r>
    </w:p>
    <w:p>
      <w:pPr>
        <w:pStyle w:val="BodyText"/>
      </w:pPr>
      <w:r>
        <w:t xml:space="preserve">Date Issued: 15 June 2025</w:t>
      </w:r>
    </w:p>
    <w:p>
      <w:pPr>
        <w:pStyle w:val="BodyText"/>
      </w:pPr>
      <w:r>
        <w:t xml:space="preserve">Valid Until: 15 July 2025</w:t>
      </w:r>
    </w:p>
    <w:bookmarkEnd w:id="21"/>
    <w:bookmarkStart w:id="22" w:name="client-information"/>
    <w:p>
      <w:pPr>
        <w:pStyle w:val="Heading3"/>
      </w:pPr>
      <w:r>
        <w:t xml:space="preserve">Client Information</w:t>
      </w:r>
    </w:p>
    <w:p>
      <w:pPr>
        <w:pStyle w:val="FirstParagraph"/>
      </w:pPr>
      <w:r>
        <w:rPr>
          <w:bCs/>
          <w:b/>
        </w:rPr>
        <w:t xml:space="preserve">Client Name:</w:t>
      </w:r>
      <w:r>
        <w:t xml:space="preserve"> </w:t>
      </w:r>
      <w:r>
        <w:t xml:space="preserve">Nishiki Pharmaceutical Research Institute</w:t>
      </w:r>
    </w:p>
    <w:p>
      <w:pPr>
        <w:pStyle w:val="BodyText"/>
      </w:pPr>
      <w:r>
        <w:rPr>
          <w:bCs/>
          <w:b/>
        </w:rPr>
        <w:t xml:space="preserve">Address:</w:t>
      </w:r>
      <w:r>
        <w:t xml:space="preserve"> </w:t>
      </w:r>
      <w:r>
        <w:t xml:space="preserve">56-78 Nakagyo-ku, Kyoto 604-8001, Japan</w:t>
      </w:r>
    </w:p>
    <w:p>
      <w:pPr>
        <w:pStyle w:val="BodyText"/>
      </w:pPr>
      <w:r>
        <w:rPr>
          <w:bCs/>
          <w:b/>
        </w:rPr>
        <w:t xml:space="preserve">Contact Person:</w:t>
      </w:r>
      <w:r>
        <w:t xml:space="preserve"> </w:t>
      </w:r>
      <w:r>
        <w:t xml:space="preserve">Dr. Haruki Tanaka</w:t>
      </w:r>
    </w:p>
    <w:p>
      <w:pPr>
        <w:pStyle w:val="BodyText"/>
      </w:pPr>
      <w:r>
        <w:rPr>
          <w:bCs/>
          <w:b/>
        </w:rPr>
        <w:t xml:space="preserve">Project Reference:</w:t>
      </w:r>
      <w:r>
        <w:t xml:space="preserve"> </w:t>
      </w:r>
      <w:r>
        <w:t xml:space="preserve">NPR-2025-Q3-Analysis</w:t>
      </w:r>
    </w:p>
    <w:p>
      <w:pPr>
        <w:pStyle w:val="BodyText"/>
      </w:pPr>
      <w:r>
        <w:rPr>
          <w:bCs/>
          <w:b/>
        </w:rPr>
        <w:t xml:space="preserve">Service Location:</w:t>
      </w:r>
      <w:r>
        <w:t xml:space="preserve"> </w:t>
      </w:r>
      <w:r>
        <w:t xml:space="preserve">Japan Kyoto Laboratory Campus</w:t>
      </w:r>
    </w:p>
    <w:p>
      <w:pPr>
        <w:pStyle w:val="BodyText"/>
      </w:pPr>
      <w:r>
        <w:rPr>
          <w:bCs/>
          <w:b/>
        </w:rPr>
        <w:t xml:space="preserve">Requested By:</w:t>
      </w:r>
      <w:r>
        <w:t xml:space="preserve"> </w:t>
      </w:r>
      <w:r>
        <w:t xml:space="preserve">Procurement Department</w:t>
      </w:r>
    </w:p>
    <w:bookmarkEnd w:id="22"/>
    <w:bookmarkStart w:id="23" w:name="X78a76ab9c2917c3b94f19a467e71fe0f0c1c0b1"/>
    <w:p>
      <w:pPr>
        <w:pStyle w:val="Heading3"/>
      </w:pPr>
      <w:r>
        <w:t xml:space="preserve">Scope of Services – Chemist Consultation and Laboratory Analysis</w:t>
      </w:r>
    </w:p>
    <w:p>
      <w:pPr>
        <w:pStyle w:val="FirstParagraph"/>
      </w:pPr>
      <w:r>
        <w:t xml:space="preserve">This</w:t>
      </w:r>
      <w:r>
        <w:t xml:space="preserve"> </w:t>
      </w:r>
      <w:r>
        <w:t xml:space="preserve">Quotation Estimate</w:t>
      </w:r>
      <w:r>
        <w:t xml:space="preserve"> </w:t>
      </w:r>
      <w:r>
        <w:t xml:space="preserve">is issued by Kyoto Precision Chemistry Laboratory to provide a comprehensive breakdown of professional</w:t>
      </w:r>
      <w:r>
        <w:t xml:space="preserve"> </w:t>
      </w:r>
      <w:r>
        <w:t xml:space="preserve">Chemist</w:t>
      </w:r>
      <w:r>
        <w:t xml:space="preserve"> </w:t>
      </w:r>
      <w:r>
        <w:t xml:space="preserve">services to be delivered at our facility located in</w:t>
      </w:r>
      <w:r>
        <w:t xml:space="preserve"> </w:t>
      </w:r>
      <w:r>
        <w:t xml:space="preserve">Japan Kyoto</w:t>
      </w:r>
      <w:r>
        <w:t xml:space="preserve">. The scope encompasses analytical chemistry, quality assurance testing, and specialized consulting as detailed in the itemized schedule below. All services will be performed by a licensed senior</w:t>
      </w:r>
      <w:r>
        <w:t xml:space="preserve"> </w:t>
      </w:r>
      <w:r>
        <w:t xml:space="preserve">Chemist</w:t>
      </w:r>
      <w:r>
        <w:t xml:space="preserve"> </w:t>
      </w:r>
      <w:r>
        <w:t xml:space="preserve">with over fifteen years of experience in pharmaceutical and industrial chemical analysis, operating within the regulatory framework established by the Japan Ministry of Health, Labour and Welfare.</w:t>
      </w:r>
    </w:p>
    <w:bookmarkEnd w:id="23"/>
    <w:bookmarkStart w:id="24" w:name="itemized-quotation-estimate-breakdown"/>
    <w:p>
      <w:pPr>
        <w:pStyle w:val="Heading3"/>
      </w:pPr>
      <w:r>
        <w:t xml:space="preserve">Itemized Quotation Estimate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(JPY)</w:t>
            </w:r>
          </w:p>
        </w:tc>
        <w:tc>
          <w:tcPr/>
          <w:p>
            <w:pPr>
              <w:pStyle w:val="Compact"/>
              <w:jc w:val="left"/>
            </w:pPr>
            <w:r>
              <w:t xml:space="preserve">Total (JPY)</w:t>
            </w:r>
          </w:p>
        </w:tc>
      </w:tr>
      <w:tr>
        <w:tc>
          <w:tcPr/>
          <w:p>
            <w:pPr>
              <w:pStyle w:val="Compact"/>
              <w:jc w:val="left"/>
            </w:pPr>
            <w:r>
              <w:t xml:space="preserve">01</w:t>
            </w:r>
          </w:p>
        </w:tc>
        <w:tc>
          <w:tcPr/>
          <w:p>
            <w:pPr>
              <w:pStyle w:val="Compact"/>
              <w:jc w:val="left"/>
            </w:pPr>
            <w:r>
              <w:t xml:space="preserve">Senior Chemist on-site consultation for analytical method development (HPLC, GC-MS) at Japan Kyoto facility</w:t>
            </w:r>
          </w:p>
        </w:tc>
        <w:tc>
          <w:tcPr/>
          <w:p>
            <w:pPr>
              <w:pStyle w:val="Compact"/>
              <w:jc w:val="left"/>
            </w:pPr>
            <w:r>
              <w:t xml:space="preserve">40</w:t>
            </w:r>
          </w:p>
        </w:tc>
        <w:tc>
          <w:tcPr/>
          <w:p>
            <w:pPr>
              <w:pStyle w:val="Compact"/>
              <w:jc w:val="left"/>
            </w:pPr>
            <w:r>
              <w:t xml:space="preserve">Hours</w:t>
            </w:r>
          </w:p>
        </w:tc>
        <w:tc>
          <w:tcPr/>
          <w:p>
            <w:pPr>
              <w:pStyle w:val="Compact"/>
              <w:jc w:val="left"/>
            </w:pPr>
            <w:r>
              <w:t xml:space="preserve">18,500</w:t>
            </w:r>
          </w:p>
        </w:tc>
        <w:tc>
          <w:tcPr/>
          <w:p>
            <w:pPr>
              <w:pStyle w:val="Compact"/>
              <w:jc w:val="left"/>
            </w:pPr>
            <w:r>
              <w:t xml:space="preserve">740,000</w:t>
            </w:r>
          </w:p>
        </w:tc>
      </w:tr>
      <w:tr>
        <w:tc>
          <w:tcPr/>
          <w:p>
            <w:pPr>
              <w:pStyle w:val="Compact"/>
              <w:jc w:val="left"/>
            </w:pPr>
            <w:r>
              <w:t xml:space="preserve">02</w:t>
            </w:r>
          </w:p>
        </w:tc>
        <w:tc>
          <w:tcPr/>
          <w:p>
            <w:pPr>
              <w:pStyle w:val="Compact"/>
              <w:jc w:val="left"/>
            </w:pPr>
            <w:r>
              <w:t xml:space="preserve">Full-spectrum chemical composition analysis of 120 pharmaceutical compound samples</w:t>
            </w:r>
          </w:p>
        </w:tc>
        <w:tc>
          <w:tcPr/>
          <w:p>
            <w:pPr>
              <w:pStyle w:val="Compact"/>
              <w:jc w:val="left"/>
            </w:pPr>
            <w:r>
              <w:t xml:space="preserve">120</w:t>
            </w:r>
          </w:p>
        </w:tc>
        <w:tc>
          <w:tcPr/>
          <w:p>
            <w:pPr>
              <w:pStyle w:val="Compact"/>
              <w:jc w:val="left"/>
            </w:pPr>
            <w:r>
              <w:t xml:space="preserve">Samples</w:t>
            </w:r>
          </w:p>
        </w:tc>
        <w:tc>
          <w:tcPr/>
          <w:p>
            <w:pPr>
              <w:pStyle w:val="Compact"/>
              <w:jc w:val="left"/>
            </w:pPr>
            <w:r>
              <w:t xml:space="preserve">24,000</w:t>
            </w:r>
          </w:p>
        </w:tc>
        <w:tc>
          <w:tcPr/>
          <w:p>
            <w:pPr>
              <w:pStyle w:val="Compact"/>
              <w:jc w:val="left"/>
            </w:pPr>
            <w:r>
              <w:t xml:space="preserve">2,880,000</w:t>
            </w:r>
          </w:p>
        </w:tc>
      </w:tr>
      <w:tr>
        <w:tc>
          <w:tcPr/>
          <w:p>
            <w:pPr>
              <w:pStyle w:val="Compact"/>
              <w:jc w:val="left"/>
            </w:pPr>
            <w:r>
              <w:t xml:space="preserve">03</w:t>
            </w:r>
          </w:p>
        </w:tc>
        <w:tc>
          <w:tcPr/>
          <w:p>
            <w:pPr>
              <w:pStyle w:val="Compact"/>
              <w:jc w:val="left"/>
            </w:pPr>
            <w:r>
              <w:t xml:space="preserve">Quality assurance and stability testing per Japanese Pharmacopoeia standards</w:t>
            </w:r>
          </w:p>
        </w:tc>
        <w:tc>
          <w:tcPr/>
          <w:p>
            <w:pPr>
              <w:pStyle w:val="Compact"/>
              <w:jc w:val="left"/>
            </w:pPr>
            <w:r>
              <w:t xml:space="preserve">60</w:t>
            </w:r>
          </w:p>
        </w:tc>
        <w:tc>
          <w:tcPr/>
          <w:p>
            <w:pPr>
              <w:pStyle w:val="Compact"/>
              <w:jc w:val="left"/>
            </w:pPr>
            <w:r>
              <w:t xml:space="preserve">Tests</w:t>
            </w:r>
          </w:p>
        </w:tc>
        <w:tc>
          <w:tcPr/>
          <w:p>
            <w:pPr>
              <w:pStyle w:val="Compact"/>
              <w:jc w:val="left"/>
            </w:pPr>
            <w:r>
              <w:t xml:space="preserve">15,800</w:t>
            </w:r>
          </w:p>
        </w:tc>
        <w:tc>
          <w:tcPr/>
          <w:p>
            <w:pPr>
              <w:pStyle w:val="Compact"/>
              <w:jc w:val="left"/>
            </w:pPr>
            <w:r>
              <w:t xml:space="preserve">948,000</w:t>
            </w:r>
          </w:p>
        </w:tc>
      </w:tr>
      <w:tr>
        <w:tc>
          <w:tcPr/>
          <w:p>
            <w:pPr>
              <w:pStyle w:val="Compact"/>
              <w:jc w:val="left"/>
            </w:pPr>
            <w:r>
              <w:t xml:space="preserve">04</w:t>
            </w:r>
          </w:p>
        </w:tc>
        <w:tc>
          <w:tcPr/>
          <w:p>
            <w:pPr>
              <w:pStyle w:val="Compact"/>
              <w:jc w:val="left"/>
            </w:pPr>
            <w:r>
              <w:t xml:space="preserve">Preparation of detailed Chemist technical reports and regulatory documentation for Japan Kyoto compliance</w:t>
            </w:r>
          </w:p>
        </w:tc>
        <w:tc>
          <w:tcPr/>
          <w:p>
            <w:pPr>
              <w:pStyle w:val="Compact"/>
              <w:jc w:val="left"/>
            </w:pPr>
            <w:r>
              <w:t xml:space="preserve">8</w:t>
            </w:r>
          </w:p>
        </w:tc>
        <w:tc>
          <w:tcPr/>
          <w:p>
            <w:pPr>
              <w:pStyle w:val="Compact"/>
              <w:jc w:val="left"/>
            </w:pPr>
            <w:r>
              <w:t xml:space="preserve">Reports</w:t>
            </w:r>
          </w:p>
        </w:tc>
        <w:tc>
          <w:tcPr/>
          <w:p>
            <w:pPr>
              <w:pStyle w:val="Compact"/>
              <w:jc w:val="left"/>
            </w:pPr>
            <w:r>
              <w:t xml:space="preserve">45,000</w:t>
            </w:r>
          </w:p>
        </w:tc>
        <w:tc>
          <w:tcPr/>
          <w:p>
            <w:pPr>
              <w:pStyle w:val="Compact"/>
              <w:jc w:val="left"/>
            </w:pPr>
            <w:r>
              <w:t xml:space="preserve">360,000</w:t>
            </w:r>
          </w:p>
        </w:tc>
      </w:tr>
      <w:tr>
        <w:tc>
          <w:tcPr/>
          <w:p>
            <w:pPr>
              <w:pStyle w:val="Compact"/>
              <w:jc w:val="left"/>
            </w:pPr>
            <w:r>
              <w:t xml:space="preserve">05</w:t>
            </w:r>
          </w:p>
        </w:tc>
        <w:tc>
          <w:tcPr/>
          <w:p>
            <w:pPr>
              <w:pStyle w:val="Compact"/>
              <w:jc w:val="left"/>
            </w:pPr>
            <w:r>
              <w:t xml:space="preserve">Specialized toxicology screening and environmental impact assessment</w:t>
            </w:r>
          </w:p>
        </w:tc>
        <w:tc>
          <w:tcPr/>
          <w:p>
            <w:pPr>
              <w:pStyle w:val="Compact"/>
              <w:jc w:val="left"/>
            </w:pPr>
            <w:r>
              <w:t xml:space="preserve">25</w:t>
            </w:r>
          </w:p>
        </w:tc>
        <w:tc>
          <w:tcPr/>
          <w:p>
            <w:pPr>
              <w:pStyle w:val="Compact"/>
              <w:jc w:val="left"/>
            </w:pPr>
            <w:r>
              <w:t xml:space="preserve">Assessments</w:t>
            </w:r>
          </w:p>
        </w:tc>
        <w:tc>
          <w:tcPr/>
          <w:p>
            <w:pPr>
              <w:pStyle w:val="Compact"/>
              <w:jc w:val="left"/>
            </w:pPr>
            <w:r>
              <w:t xml:space="preserve">32,000</w:t>
            </w:r>
          </w:p>
        </w:tc>
        <w:tc>
          <w:tcPr/>
          <w:p>
            <w:pPr>
              <w:pStyle w:val="Compact"/>
              <w:jc w:val="left"/>
            </w:pPr>
            <w:r>
              <w:t xml:space="preserve">800,000</w:t>
            </w:r>
          </w:p>
        </w:tc>
      </w:tr>
      <w:tr>
        <w:tc>
          <w:tcPr/>
          <w:p>
            <w:pPr>
              <w:pStyle w:val="Compact"/>
              <w:jc w:val="left"/>
            </w:pPr>
            <w:r>
              <w:t xml:space="preserve">06</w:t>
            </w:r>
          </w:p>
        </w:tc>
        <w:tc>
          <w:tcPr/>
          <w:p>
            <w:pPr>
              <w:pStyle w:val="Compact"/>
              <w:jc w:val="left"/>
            </w:pPr>
            <w:r>
              <w:t xml:space="preserve">Laboratory consumables, reagents, and calibration standards (supplied by Chemist team)</w:t>
            </w:r>
          </w:p>
        </w:tc>
        <w:tc>
          <w:tcPr/>
          <w:p>
            <w:pPr>
              <w:pStyle w:val="Compact"/>
              <w:jc w:val="left"/>
            </w:pPr>
            <w:r>
              <w:t xml:space="preserve">1</w:t>
            </w:r>
          </w:p>
        </w:tc>
        <w:tc>
          <w:tcPr/>
          <w:p>
            <w:pPr>
              <w:pStyle w:val="Compact"/>
              <w:jc w:val="left"/>
            </w:pPr>
            <w:r>
              <w:t xml:space="preserve">Lot</w:t>
            </w:r>
          </w:p>
        </w:tc>
        <w:tc>
          <w:tcPr/>
          <w:p>
            <w:pPr>
              <w:pStyle w:val="Compact"/>
              <w:jc w:val="left"/>
            </w:pPr>
            <w:r>
              <w:t xml:space="preserve">485,000</w:t>
            </w:r>
          </w:p>
        </w:tc>
        <w:tc>
          <w:tcPr/>
          <w:p>
            <w:pPr>
              <w:pStyle w:val="Compact"/>
              <w:jc w:val="left"/>
            </w:pPr>
            <w:r>
              <w:t xml:space="preserve">485,000</w:t>
            </w:r>
          </w:p>
        </w:tc>
      </w:tr>
      <w:tr>
        <w:tc>
          <w:tcPr/>
          <w:p>
            <w:pPr>
              <w:pStyle w:val="Compact"/>
              <w:jc w:val="left"/>
            </w:pPr>
            <w:r>
              <w:t xml:space="preserve">07</w:t>
            </w:r>
          </w:p>
        </w:tc>
        <w:tc>
          <w:tcPr/>
          <w:p>
            <w:pPr>
              <w:pStyle w:val="Compact"/>
              <w:jc w:val="left"/>
            </w:pPr>
            <w:r>
              <w:t xml:space="preserve">Travel and accommodation for Chemist team within Japan Kyoto metropolitan area</w:t>
            </w:r>
          </w:p>
        </w:tc>
        <w:tc>
          <w:tcPr/>
          <w:p>
            <w:pPr>
              <w:pStyle w:val="Compact"/>
              <w:jc w:val="left"/>
            </w:pPr>
            <w:r>
              <w:t xml:space="preserve">12</w:t>
            </w:r>
          </w:p>
        </w:tc>
        <w:tc>
          <w:tcPr/>
          <w:p>
            <w:pPr>
              <w:pStyle w:val="Compact"/>
              <w:jc w:val="left"/>
            </w:pPr>
            <w:r>
              <w:t xml:space="preserve">Days</w:t>
            </w:r>
          </w:p>
        </w:tc>
        <w:tc>
          <w:tcPr/>
          <w:p>
            <w:pPr>
              <w:pStyle w:val="Compact"/>
              <w:jc w:val="left"/>
            </w:pPr>
            <w:r>
              <w:t xml:space="preserve">28,000</w:t>
            </w:r>
          </w:p>
        </w:tc>
        <w:tc>
          <w:tcPr/>
          <w:p>
            <w:pPr>
              <w:pStyle w:val="Compact"/>
              <w:jc w:val="left"/>
            </w:pPr>
            <w:r>
              <w:t xml:space="preserve">336,000</w:t>
            </w:r>
          </w:p>
        </w:tc>
      </w:tr>
      <w:tr>
        <w:tc>
          <w:tcPr/>
          <w:p>
            <w:pPr>
              <w:pStyle w:val="Compact"/>
              <w:jc w:val="left"/>
            </w:pPr>
            <w:r>
              <w:t xml:space="preserve">08</w:t>
            </w:r>
          </w:p>
        </w:tc>
        <w:tc>
          <w:tcPr/>
          <w:p>
            <w:pPr>
              <w:pStyle w:val="Compact"/>
              <w:jc w:val="left"/>
            </w:pPr>
            <w:r>
              <w:t xml:space="preserve">Post-delivery technical support and Chemist advisory (30-day period)</w:t>
            </w:r>
          </w:p>
        </w:tc>
        <w:tc>
          <w:tcPr/>
          <w:p>
            <w:pPr>
              <w:pStyle w:val="Compact"/>
              <w:jc w:val="left"/>
            </w:pPr>
            <w:r>
              <w:t xml:space="preserve">30</w:t>
            </w:r>
          </w:p>
        </w:tc>
        <w:tc>
          <w:tcPr/>
          <w:p>
            <w:pPr>
              <w:pStyle w:val="Compact"/>
              <w:jc w:val="left"/>
            </w:pPr>
            <w:r>
              <w:t xml:space="preserve">Days</w:t>
            </w:r>
          </w:p>
        </w:tc>
        <w:tc>
          <w:tcPr/>
          <w:p>
            <w:pPr>
              <w:pStyle w:val="Compact"/>
              <w:jc w:val="left"/>
            </w:pPr>
            <w:r>
              <w:t xml:space="preserve">12,000</w:t>
            </w:r>
          </w:p>
        </w:tc>
        <w:tc>
          <w:tcPr/>
          <w:p>
            <w:pPr>
              <w:pStyle w:val="Compact"/>
              <w:jc w:val="left"/>
            </w:pPr>
            <w:r>
              <w:t xml:space="preserve">360,000</w:t>
            </w:r>
          </w:p>
        </w:tc>
      </w:tr>
      <w:tr>
        <w:tc>
          <w:tcPr>
            <w:gridSpan w:val="5"/>
          </w:tcPr>
          <w:p>
            <w:pPr>
              <w:pStyle w:val="Compact"/>
              <w:jc w:val="left"/>
            </w:pPr>
            <w:r>
              <w:t xml:space="preserve">SUBTOTAL</w:t>
            </w:r>
          </w:p>
        </w:tc>
        <w:tc>
          <w:tcPr/>
          <w:p>
            <w:pPr>
              <w:pStyle w:val="Compact"/>
              <w:jc w:val="left"/>
            </w:pPr>
            <w:r>
              <w:t xml:space="preserve">6,909,000</w:t>
            </w:r>
          </w:p>
        </w:tc>
      </w:tr>
      <w:tr>
        <w:tc>
          <w:tcPr>
            <w:gridSpan w:val="5"/>
          </w:tcPr>
          <w:p>
            <w:pPr>
              <w:pStyle w:val="Compact"/>
              <w:jc w:val="left"/>
            </w:pPr>
            <w:r>
              <w:t xml:space="preserve">Consumption Tax (10% – Japan National Standard)</w:t>
            </w:r>
          </w:p>
        </w:tc>
        <w:tc>
          <w:tcPr/>
          <w:p>
            <w:pPr>
              <w:pStyle w:val="Compact"/>
              <w:jc w:val="left"/>
            </w:pPr>
            <w:r>
              <w:t xml:space="preserve">690,900</w:t>
            </w:r>
          </w:p>
        </w:tc>
      </w:tr>
      <w:tr>
        <w:tc>
          <w:tcPr>
            <w:gridSpan w:val="5"/>
          </w:tcPr>
          <w:p>
            <w:pPr>
              <w:pStyle w:val="Compact"/>
              <w:jc w:val="left"/>
            </w:pPr>
            <w:r>
              <w:t xml:space="preserve">GRAND TOTAL (JPY)</w:t>
            </w:r>
          </w:p>
        </w:tc>
        <w:tc>
          <w:tcPr/>
          <w:p>
            <w:pPr>
              <w:pStyle w:val="Compact"/>
              <w:jc w:val="left"/>
            </w:pPr>
            <w:r>
              <w:t xml:space="preserve">7,599,900</w:t>
            </w:r>
          </w:p>
        </w:tc>
      </w:tr>
    </w:tbl>
    <w:bookmarkEnd w:id="24"/>
    <w:bookmarkStart w:id="25" w:name="X985eb999f0cfcda5f1af1a675bf0b7c2e0a6c64"/>
    <w:p>
      <w:pPr>
        <w:pStyle w:val="Heading3"/>
      </w:pPr>
      <w:r>
        <w:t xml:space="preserve">Terms and Conditions of This Quotation Estimate</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Beyond this period, pricing may be subject to revision due to fluctuations in reagent costs and labor rates within the Japan Kyoto region.</w:t>
      </w:r>
    </w:p>
    <w:p>
      <w:pPr>
        <w:numPr>
          <w:ilvl w:val="0"/>
          <w:numId w:val="1001"/>
        </w:numPr>
        <w:pStyle w:val="Compact"/>
      </w:pPr>
      <w:r>
        <w:t xml:space="preserve">All</w:t>
      </w:r>
      <w:r>
        <w:t xml:space="preserve"> </w:t>
      </w:r>
      <w:r>
        <w:t xml:space="preserve">Chemist</w:t>
      </w:r>
      <w:r>
        <w:t xml:space="preserve"> </w:t>
      </w:r>
      <w:r>
        <w:t xml:space="preserve">services shall be performed in strict accordance with the Pharmaceutical and Medical Device Act of Japan and the standards set forth by the Japan Chemical Analysis Association.</w:t>
      </w:r>
    </w:p>
    <w:p>
      <w:pPr>
        <w:numPr>
          <w:ilvl w:val="0"/>
          <w:numId w:val="1001"/>
        </w:numPr>
        <w:pStyle w:val="Compact"/>
      </w:pPr>
      <w:r>
        <w:t xml:space="preserve">Payment terms: 40% advance payment upon acceptance of this Quotation Estimate, 40% upon completion of laboratory analysis, and 20% upon final delivery of all Chemist technical reports.</w:t>
      </w:r>
    </w:p>
    <w:p>
      <w:pPr>
        <w:numPr>
          <w:ilvl w:val="0"/>
          <w:numId w:val="1001"/>
        </w:numPr>
        <w:pStyle w:val="Compact"/>
      </w:pPr>
      <w:r>
        <w:t xml:space="preserve">The designated service location for all on-site work is the client's facility in Japan Kyoto. Any relocation of work to a different prefecture will incur additional travel charges to be quoted separately.</w:t>
      </w:r>
    </w:p>
    <w:p>
      <w:pPr>
        <w:numPr>
          <w:ilvl w:val="0"/>
          <w:numId w:val="1001"/>
        </w:numPr>
        <w:pStyle w:val="Compact"/>
      </w:pPr>
      <w:r>
        <w:t xml:space="preserve">Confidentiality: All data, samples, and findings handled by our Chemist team are subject to a mutual Non-Disclosure Agreement (NDA) to be executed prior to commencement of work.</w:t>
      </w:r>
    </w:p>
    <w:p>
      <w:pPr>
        <w:numPr>
          <w:ilvl w:val="0"/>
          <w:numId w:val="1001"/>
        </w:numPr>
        <w:pStyle w:val="Compact"/>
      </w:pPr>
      <w:r>
        <w:t xml:space="preserve">Force Majeure: Neither party shall be liable for delays caused by natural disasters, including but not limited to earthquakes, typhoons, or volcanic activity affecting the Japan Kyoto region.</w:t>
      </w:r>
    </w:p>
    <w:p>
      <w:pPr>
        <w:numPr>
          <w:ilvl w:val="0"/>
          <w:numId w:val="1001"/>
        </w:numPr>
        <w:pStyle w:val="Compact"/>
      </w:pPr>
      <w:r>
        <w:t xml:space="preserve">Dispute resolution shall be governed by the laws of Japan, with jurisdiction vested in the Kyoto District Court.</w:t>
      </w:r>
    </w:p>
    <w:bookmarkEnd w:id="25"/>
    <w:bookmarkStart w:id="26" w:name="additional-notes"/>
    <w:p>
      <w:pPr>
        <w:pStyle w:val="Heading3"/>
      </w:pPr>
      <w:r>
        <w:t xml:space="preserve">Additional Notes</w:t>
      </w:r>
    </w:p>
    <w:p>
      <w:pPr>
        <w:pStyle w:val="FirstParagraph"/>
      </w:pPr>
      <w:r>
        <w:rPr>
          <w:bCs/>
          <w:b/>
        </w:rPr>
        <w:t xml:space="preserve">Note:</w:t>
      </w:r>
      <w:r>
        <w:t xml:space="preserve"> </w:t>
      </w:r>
      <w:r>
        <w:t xml:space="preserve">This Quotation Estimate assumes standard operating hours (09:00–18:00 JST, Monday through Friday). Any after-hours or weekend work required by the Chemist team will be billed at 1.5x the standard hourly rate. The client is requested to confirm sample delivery schedule at least five business days prior to the commencement date to allow adequate preparation time for the Japan Kyoto laboratory.</w:t>
      </w:r>
    </w:p>
    <w:bookmarkEnd w:id="26"/>
    <w:p>
      <w:pPr>
        <w:pStyle w:val="BodyText"/>
      </w:pPr>
      <w:r>
        <w:rPr>
          <w:bCs/>
          <w:b/>
        </w:rPr>
        <w:t xml:space="preserve">Prepared by:</w:t>
      </w:r>
    </w:p>
    <w:p>
      <w:pPr>
        <w:pStyle w:val="BodyText"/>
      </w:pPr>
      <w:r>
        <w:t xml:space="preserve">Dr. Kenji Yamamoto, Ph.D.</w:t>
      </w:r>
    </w:p>
    <w:p>
      <w:pPr>
        <w:pStyle w:val="BodyText"/>
      </w:pPr>
      <w:r>
        <w:t xml:space="preserve">Senior Chemist &amp; Laboratory Director</w:t>
      </w:r>
    </w:p>
    <w:p>
      <w:pPr>
        <w:pStyle w:val="BodyText"/>
      </w:pPr>
      <w:r>
        <w:t xml:space="preserve">Kyoto Precision Chemistry Laboratory</w:t>
      </w:r>
    </w:p>
    <w:p>
      <w:pPr>
        <w:pStyle w:val="BodyText"/>
      </w:pPr>
      <w:r>
        <w:t xml:space="preserve">Signature &amp; Company Seal (Hanko)</w:t>
      </w:r>
    </w:p>
    <w:p>
      <w:pPr>
        <w:pStyle w:val="BodyText"/>
      </w:pPr>
      <w:r>
        <w:rPr>
          <w:bCs/>
          <w:b/>
        </w:rPr>
        <w:t xml:space="preserve">Accepted by (Client):</w:t>
      </w:r>
    </w:p>
    <w:p>
      <w:pPr>
        <w:pStyle w:val="BodyText"/>
      </w:pPr>
      <w:r>
        <w:t xml:space="preserve">Dr. Haruki Tanaka</w:t>
      </w:r>
    </w:p>
    <w:p>
      <w:pPr>
        <w:pStyle w:val="BodyText"/>
      </w:pPr>
      <w:r>
        <w:t xml:space="preserve">Head of Procurement</w:t>
      </w:r>
    </w:p>
    <w:p>
      <w:pPr>
        <w:pStyle w:val="BodyText"/>
      </w:pPr>
      <w:r>
        <w:t xml:space="preserve">Nishiki Pharmaceutical Research Institute</w:t>
      </w:r>
    </w:p>
    <w:p>
      <w:pPr>
        <w:pStyle w:val="BodyText"/>
      </w:pPr>
      <w:r>
        <w:t xml:space="preserve">Signature &amp; Company Seal (Hanko)</w:t>
      </w:r>
    </w:p>
    <w:p>
      <w:pPr>
        <w:pStyle w:val="BodyText"/>
      </w:pPr>
      <w:r>
        <w:t xml:space="preserve">Kyoto Precision Chemistry Laboratory | 12-34 Higashiyama-ku, Kyoto 605-0001, Japan | Tel: +81-75-123-4567</w:t>
      </w:r>
    </w:p>
    <w:p>
      <w:pPr>
        <w:pStyle w:val="BodyText"/>
      </w:pPr>
      <w:r>
        <w:t xml:space="preserve">This Quotation Estimate document is generated electronically and is valid without a physical signature. Reference: QTE-KYO-2025-00847</w:t>
      </w:r>
    </w:p>
    <w:p>
      <w:pPr>
        <w:pStyle w:val="BodyText"/>
      </w:pPr>
      <w:r>
        <w:t xml:space="preserve">© 2025 Kyoto Precision Chemistry Laboratory.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Chemist Services - Japan Kyoto</dc:title>
  <dc:creator/>
  <dc:language>en</dc:language>
  <cp:keywords/>
  <dcterms:created xsi:type="dcterms:W3CDTF">2026-10-10T02:15:32Z</dcterms:created>
  <dcterms:modified xsi:type="dcterms:W3CDTF">2026-10-10T02:15:32Z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