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Chemist</w:t>
      </w:r>
      <w:r>
        <w:t xml:space="preserve"> </w:t>
      </w:r>
      <w:r>
        <w:t xml:space="preserve">Services</w:t>
      </w:r>
      <w:r>
        <w:t xml:space="preserve"> </w:t>
      </w:r>
      <w:r>
        <w:t xml:space="preserve">-</w:t>
      </w:r>
      <w:r>
        <w:t xml:space="preserve"> </w:t>
      </w:r>
      <w:r>
        <w:t xml:space="preserve">Japan</w:t>
      </w:r>
      <w:r>
        <w:t xml:space="preserve"> </w:t>
      </w:r>
      <w:r>
        <w:t xml:space="preserve">Tokyo</w:t>
      </w:r>
    </w:p>
    <w:bookmarkStart w:id="20" w:name="quotation-estimate"/>
    <w:p>
      <w:pPr>
        <w:pStyle w:val="Heading1"/>
      </w:pPr>
      <w:r>
        <w:t xml:space="preserve">QUOTATION ESTIMATE</w:t>
      </w:r>
    </w:p>
    <w:p>
      <w:pPr>
        <w:pStyle w:val="FirstParagraph"/>
      </w:pPr>
      <w:r>
        <w:t xml:space="preserve">Professional Chemist Services — Japan Tokyo</w:t>
      </w:r>
    </w:p>
    <w:p>
      <w:pPr>
        <w:pStyle w:val="BodyText"/>
      </w:pPr>
      <w:r>
        <w:t xml:space="preserve">Pharmaceutical Compounding, Chemical Analysis &amp; Laboratory Consultation</w:t>
      </w:r>
    </w:p>
    <w:bookmarkEnd w:id="20"/>
    <w:p>
      <w:pPr>
        <w:pStyle w:val="BodyText"/>
      </w:pPr>
      <w:r>
        <w:rPr>
          <w:bCs/>
          <w:b/>
        </w:rPr>
        <w:t xml:space="preserve">Tokyo Precision Chemist Laboratory Co., Ltd.</w:t>
      </w:r>
      <w:r>
        <w:br/>
      </w:r>
      <w:r>
        <w:t xml:space="preserve">2-14-8, Chiyoda-ku, Tokyo 102-0083, Japan</w:t>
      </w:r>
      <w:r>
        <w:br/>
      </w:r>
      <w:r>
        <w:t xml:space="preserve">Tel: +81-3-5287-4410</w:t>
      </w:r>
      <w:r>
        <w:br/>
      </w:r>
      <w:r>
        <w:t xml:space="preserve">Email: estimates@tokyo-precision-chemist.jp</w:t>
      </w:r>
      <w:r>
        <w:br/>
      </w:r>
      <w:r>
        <w:t xml:space="preserve">Corporate Number: 4010001234567</w:t>
      </w:r>
    </w:p>
    <w:p>
      <w:pPr>
        <w:pStyle w:val="BodyText"/>
      </w:pPr>
      <w:r>
        <w:rPr>
          <w:bCs/>
          <w:b/>
        </w:rPr>
        <w:t xml:space="preserve">Prepared For:</w:t>
      </w:r>
      <w:r>
        <w:br/>
      </w:r>
      <w:r>
        <w:t xml:space="preserve">Dr. Kenji Tanaka</w:t>
      </w:r>
      <w:r>
        <w:br/>
      </w:r>
      <w:r>
        <w:t xml:space="preserve">Tanaka Pharmaceutical Research Institute</w:t>
      </w:r>
      <w:r>
        <w:br/>
      </w:r>
      <w:r>
        <w:t xml:space="preserve">7-22-1, Meguro-ku, Tokyo 153-0063, Japan</w:t>
      </w:r>
      <w:r>
        <w:br/>
      </w:r>
      <w:r>
        <w:t xml:space="preserve">Tel: +81-3-3712-8890</w:t>
      </w:r>
    </w:p>
    <w:p>
      <w:pPr>
        <w:pStyle w:val="BodyText"/>
      </w:pPr>
      <w:r>
        <w:t xml:space="preserve">Quotation Estimate No.:</w:t>
      </w:r>
      <w:r>
        <w:t xml:space="preserve"> </w:t>
      </w:r>
      <w:r>
        <w:t xml:space="preserve">QTE-2025-TKY-0487</w:t>
      </w:r>
    </w:p>
    <w:p>
      <w:pPr>
        <w:pStyle w:val="BodyText"/>
      </w:pPr>
      <w:r>
        <w:t xml:space="preserve">Date of Issue:</w:t>
      </w:r>
      <w:r>
        <w:t xml:space="preserve"> </w:t>
      </w:r>
      <w:r>
        <w:t xml:space="preserve">15 June 2025</w:t>
      </w:r>
    </w:p>
    <w:p>
      <w:pPr>
        <w:pStyle w:val="BodyText"/>
      </w:pPr>
      <w:r>
        <w:t xml:space="preserve">Valid Until:</w:t>
      </w:r>
      <w:r>
        <w:t xml:space="preserve"> </w:t>
      </w:r>
      <w:r>
        <w:t xml:space="preserve">15 July 2025</w:t>
      </w:r>
    </w:p>
    <w:p>
      <w:pPr>
        <w:pStyle w:val="BodyText"/>
      </w:pPr>
      <w:r>
        <w:t xml:space="preserve">Currency:</w:t>
      </w:r>
      <w:r>
        <w:t xml:space="preserve"> </w:t>
      </w:r>
      <w:r>
        <w:t xml:space="preserve">Japanese Yen (JPY)</w:t>
      </w:r>
    </w:p>
    <w:p>
      <w:pPr>
        <w:pStyle w:val="BodyText"/>
      </w:pPr>
      <w:r>
        <w:t xml:space="preserve">1. SCOPE OF SERVICES — CHEMIST CONSULTATION IN JAPAN TOKYO</w:t>
      </w:r>
    </w:p>
    <w:p>
      <w:pPr>
        <w:pStyle w:val="BodyText"/>
      </w:pPr>
      <w:r>
        <w:t xml:space="preserve">This Quotation Estimate is issued by Tokyo Precision Chemist Laboratory Co., Ltd. (hereinafter referred to as "the Chemist Provider") to provide a comprehensive breakdown of professional chemist services to be rendered in Japan Tokyo. The scope encompasses pharmaceutical compounding, advanced chemical analysis, regulatory compliance consultation, and dedicated laboratory support tailored to the specific research and development needs of the client. All services will be conducted in accordance with the Pharmaceutical and Medical Device Act (PMDA) regulations applicable in Japan Tokyo, ensuring full compliance with national and local standards.</w:t>
      </w:r>
    </w:p>
    <w:p>
      <w:pPr>
        <w:pStyle w:val="BodyText"/>
      </w:pPr>
      <w:r>
        <w:t xml:space="preserve">2. DETAILED LINE ITEMS —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Chemist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(JPY)</w:t>
            </w:r>
          </w:p>
        </w:tc>
        <w:tc>
          <w:tcPr/>
          <w:p>
            <w:pPr>
              <w:pStyle w:val="Compact"/>
              <w:jc w:val="left"/>
            </w:pPr>
            <w:r>
              <w:t xml:space="preserve">Subtotal (JPY)</w:t>
            </w:r>
          </w:p>
        </w:tc>
      </w:tr>
      <w:tr>
        <w:tc>
          <w:tcPr/>
          <w:p>
            <w:pPr>
              <w:pStyle w:val="Compact"/>
              <w:jc w:val="left"/>
            </w:pPr>
            <w:r>
              <w:t xml:space="preserve">1</w:t>
            </w:r>
          </w:p>
        </w:tc>
        <w:tc>
          <w:tcPr/>
          <w:p>
            <w:pPr>
              <w:pStyle w:val="Compact"/>
              <w:jc w:val="left"/>
            </w:pPr>
            <w:r>
              <w:t xml:space="preserve">Senior Chemist consultation for pharmaceutical formulation design and stability assessment in Japan Tokyo laboratory facilities</w:t>
            </w:r>
          </w:p>
        </w:tc>
        <w:tc>
          <w:tcPr/>
          <w:p>
            <w:pPr>
              <w:pStyle w:val="Compact"/>
              <w:jc w:val="left"/>
            </w:pPr>
            <w:r>
              <w:t xml:space="preserve">Hour</w:t>
            </w:r>
          </w:p>
        </w:tc>
        <w:tc>
          <w:tcPr/>
          <w:p>
            <w:pPr>
              <w:pStyle w:val="Compact"/>
              <w:jc w:val="left"/>
            </w:pPr>
            <w:r>
              <w:t xml:space="preserve">48</w:t>
            </w:r>
          </w:p>
        </w:tc>
        <w:tc>
          <w:tcPr/>
          <w:p>
            <w:pPr>
              <w:pStyle w:val="Compact"/>
              <w:jc w:val="left"/>
            </w:pPr>
            <w:r>
              <w:t xml:space="preserve">28,000</w:t>
            </w:r>
          </w:p>
        </w:tc>
        <w:tc>
          <w:tcPr/>
          <w:p>
            <w:pPr>
              <w:pStyle w:val="Compact"/>
              <w:jc w:val="left"/>
            </w:pPr>
            <w:r>
              <w:t xml:space="preserve">1,344,000</w:t>
            </w:r>
          </w:p>
        </w:tc>
      </w:tr>
      <w:tr>
        <w:tc>
          <w:tcPr/>
          <w:p>
            <w:pPr>
              <w:pStyle w:val="Compact"/>
              <w:jc w:val="left"/>
            </w:pPr>
            <w:r>
              <w:t xml:space="preserve">2</w:t>
            </w:r>
          </w:p>
        </w:tc>
        <w:tc>
          <w:tcPr/>
          <w:p>
            <w:pPr>
              <w:pStyle w:val="Compact"/>
              <w:jc w:val="left"/>
            </w:pPr>
            <w:r>
              <w:t xml:space="preserve">High-Performance Liquid Chromatography (HPLC) analysis of active pharmaceutical ingredients — batch testing</w:t>
            </w:r>
          </w:p>
        </w:tc>
        <w:tc>
          <w:tcPr/>
          <w:p>
            <w:pPr>
              <w:pStyle w:val="Compact"/>
              <w:jc w:val="left"/>
            </w:pPr>
            <w:r>
              <w:t xml:space="preserve">Sample</w:t>
            </w:r>
          </w:p>
        </w:tc>
        <w:tc>
          <w:tcPr/>
          <w:p>
            <w:pPr>
              <w:pStyle w:val="Compact"/>
              <w:jc w:val="left"/>
            </w:pPr>
            <w:r>
              <w:t xml:space="preserve">120</w:t>
            </w:r>
          </w:p>
        </w:tc>
        <w:tc>
          <w:tcPr/>
          <w:p>
            <w:pPr>
              <w:pStyle w:val="Compact"/>
              <w:jc w:val="left"/>
            </w:pPr>
            <w:r>
              <w:t xml:space="preserve">15,500</w:t>
            </w:r>
          </w:p>
        </w:tc>
        <w:tc>
          <w:tcPr/>
          <w:p>
            <w:pPr>
              <w:pStyle w:val="Compact"/>
              <w:jc w:val="left"/>
            </w:pPr>
            <w:r>
              <w:t xml:space="preserve">1,860,000</w:t>
            </w:r>
          </w:p>
        </w:tc>
      </w:tr>
      <w:tr>
        <w:tc>
          <w:tcPr/>
          <w:p>
            <w:pPr>
              <w:pStyle w:val="Compact"/>
              <w:jc w:val="left"/>
            </w:pPr>
            <w:r>
              <w:t xml:space="preserve">3</w:t>
            </w:r>
          </w:p>
        </w:tc>
        <w:tc>
          <w:tcPr/>
          <w:p>
            <w:pPr>
              <w:pStyle w:val="Compact"/>
              <w:jc w:val="left"/>
            </w:pPr>
            <w:r>
              <w:t xml:space="preserve">Gas Chromatography-Mass Spectrometry (GC-MS) impurity profiling for chemical safety compliance in Japan Tokyo</w:t>
            </w:r>
          </w:p>
        </w:tc>
        <w:tc>
          <w:tcPr/>
          <w:p>
            <w:pPr>
              <w:pStyle w:val="Compact"/>
              <w:jc w:val="left"/>
            </w:pPr>
            <w:r>
              <w:t xml:space="preserve">Sample</w:t>
            </w:r>
          </w:p>
        </w:tc>
        <w:tc>
          <w:tcPr/>
          <w:p>
            <w:pPr>
              <w:pStyle w:val="Compact"/>
              <w:jc w:val="left"/>
            </w:pPr>
            <w:r>
              <w:t xml:space="preserve">60</w:t>
            </w:r>
          </w:p>
        </w:tc>
        <w:tc>
          <w:tcPr/>
          <w:p>
            <w:pPr>
              <w:pStyle w:val="Compact"/>
              <w:jc w:val="left"/>
            </w:pPr>
            <w:r>
              <w:t xml:space="preserve">22,000</w:t>
            </w:r>
          </w:p>
        </w:tc>
        <w:tc>
          <w:tcPr/>
          <w:p>
            <w:pPr>
              <w:pStyle w:val="Compact"/>
              <w:jc w:val="left"/>
            </w:pPr>
            <w:r>
              <w:t xml:space="preserve">1,320,000</w:t>
            </w:r>
          </w:p>
        </w:tc>
      </w:tr>
      <w:tr>
        <w:tc>
          <w:tcPr/>
          <w:p>
            <w:pPr>
              <w:pStyle w:val="Compact"/>
              <w:jc w:val="left"/>
            </w:pPr>
            <w:r>
              <w:t xml:space="preserve">4</w:t>
            </w:r>
          </w:p>
        </w:tc>
        <w:tc>
          <w:tcPr/>
          <w:p>
            <w:pPr>
              <w:pStyle w:val="Compact"/>
              <w:jc w:val="left"/>
            </w:pPr>
            <w:r>
              <w:t xml:space="preserve">Pharmaceutical compounding and small-batch manufacturing support by licensed Chemist team</w:t>
            </w:r>
          </w:p>
        </w:tc>
        <w:tc>
          <w:tcPr/>
          <w:p>
            <w:pPr>
              <w:pStyle w:val="Compact"/>
              <w:jc w:val="left"/>
            </w:pPr>
            <w:r>
              <w:t xml:space="preserve">Batch</w:t>
            </w:r>
          </w:p>
        </w:tc>
        <w:tc>
          <w:tcPr/>
          <w:p>
            <w:pPr>
              <w:pStyle w:val="Compact"/>
              <w:jc w:val="left"/>
            </w:pPr>
            <w:r>
              <w:t xml:space="preserve">12</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5</w:t>
            </w:r>
          </w:p>
        </w:tc>
        <w:tc>
          <w:tcPr/>
          <w:p>
            <w:pPr>
              <w:pStyle w:val="Compact"/>
              <w:jc w:val="left"/>
            </w:pPr>
            <w:r>
              <w:t xml:space="preserve">Regulatory documentation preparation and PMDA submission support for Japan Tokyo market entry</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6</w:t>
            </w:r>
          </w:p>
        </w:tc>
        <w:tc>
          <w:tcPr/>
          <w:p>
            <w:pPr>
              <w:pStyle w:val="Compact"/>
              <w:jc w:val="left"/>
            </w:pPr>
            <w:r>
              <w:t xml:space="preserve">Quality control audit and Good Manufacturing Practice (GMP) compliance review at client facility in Japan Tokyo</w:t>
            </w:r>
          </w:p>
        </w:tc>
        <w:tc>
          <w:tcPr/>
          <w:p>
            <w:pPr>
              <w:pStyle w:val="Compact"/>
              <w:jc w:val="left"/>
            </w:pPr>
            <w:r>
              <w:t xml:space="preserve">Day</w:t>
            </w:r>
          </w:p>
        </w:tc>
        <w:tc>
          <w:tcPr/>
          <w:p>
            <w:pPr>
              <w:pStyle w:val="Compact"/>
              <w:jc w:val="left"/>
            </w:pPr>
            <w:r>
              <w:t xml:space="preserve">5</w:t>
            </w:r>
          </w:p>
        </w:tc>
        <w:tc>
          <w:tcPr/>
          <w:p>
            <w:pPr>
              <w:pStyle w:val="Compact"/>
              <w:jc w:val="left"/>
            </w:pPr>
            <w:r>
              <w:t xml:space="preserve">120,000</w:t>
            </w:r>
          </w:p>
        </w:tc>
        <w:tc>
          <w:tcPr/>
          <w:p>
            <w:pPr>
              <w:pStyle w:val="Compact"/>
              <w:jc w:val="left"/>
            </w:pPr>
            <w:r>
              <w:t xml:space="preserve">600,000</w:t>
            </w:r>
          </w:p>
        </w:tc>
      </w:tr>
      <w:tr>
        <w:tc>
          <w:tcPr/>
          <w:p>
            <w:pPr>
              <w:pStyle w:val="Compact"/>
              <w:jc w:val="left"/>
            </w:pPr>
            <w:r>
              <w:t xml:space="preserve">7</w:t>
            </w:r>
          </w:p>
        </w:tc>
        <w:tc>
          <w:tcPr/>
          <w:p>
            <w:pPr>
              <w:pStyle w:val="Compact"/>
              <w:jc w:val="left"/>
            </w:pPr>
            <w:r>
              <w:t xml:space="preserve">Specialized reagents, solvents, and reference standards (consumables for the above analyses)</w:t>
            </w:r>
          </w:p>
        </w:tc>
        <w:tc>
          <w:tcPr/>
          <w:p>
            <w:pPr>
              <w:pStyle w:val="Compact"/>
              <w:jc w:val="left"/>
            </w:pPr>
            <w:r>
              <w:t xml:space="preserve">Lot</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8</w:t>
            </w:r>
          </w:p>
        </w:tc>
        <w:tc>
          <w:tcPr/>
          <w:p>
            <w:pPr>
              <w:pStyle w:val="Compact"/>
              <w:jc w:val="left"/>
            </w:pPr>
            <w:r>
              <w:t xml:space="preserve">On-site Chemist supervision and technical training for client laboratory staff in Japan Tokyo</w:t>
            </w:r>
          </w:p>
        </w:tc>
        <w:tc>
          <w:tcPr/>
          <w:p>
            <w:pPr>
              <w:pStyle w:val="Compact"/>
              <w:jc w:val="left"/>
            </w:pPr>
            <w:r>
              <w:t xml:space="preserve">Session</w:t>
            </w:r>
          </w:p>
        </w:tc>
        <w:tc>
          <w:tcPr/>
          <w:p>
            <w:pPr>
              <w:pStyle w:val="Compact"/>
              <w:jc w:val="left"/>
            </w:pPr>
            <w:r>
              <w:t xml:space="preserve">6</w:t>
            </w:r>
          </w:p>
        </w:tc>
        <w:tc>
          <w:tcPr/>
          <w:p>
            <w:pPr>
              <w:pStyle w:val="Compact"/>
              <w:jc w:val="left"/>
            </w:pPr>
            <w:r>
              <w:t xml:space="preserve">45,000</w:t>
            </w:r>
          </w:p>
        </w:tc>
        <w:tc>
          <w:tcPr/>
          <w:p>
            <w:pPr>
              <w:pStyle w:val="Compact"/>
              <w:jc w:val="left"/>
            </w:pPr>
            <w:r>
              <w:t xml:space="preserve">270,000</w:t>
            </w:r>
          </w:p>
        </w:tc>
      </w:tr>
      <w:tr>
        <w:tc>
          <w:tcPr>
            <w:gridSpan w:val="5"/>
          </w:tcPr>
          <w:p>
            <w:pPr>
              <w:pStyle w:val="Compact"/>
              <w:jc w:val="right"/>
            </w:pPr>
            <w:r>
              <w:t xml:space="preserve">Subtotal (before tax)</w:t>
            </w:r>
          </w:p>
        </w:tc>
        <w:tc>
          <w:tcPr/>
          <w:p>
            <w:pPr>
              <w:pStyle w:val="Compact"/>
              <w:jc w:val="left"/>
            </w:pPr>
            <w:r>
              <w:t xml:space="preserve">9,044,000</w:t>
            </w:r>
          </w:p>
        </w:tc>
      </w:tr>
      <w:tr>
        <w:tc>
          <w:tcPr>
            <w:gridSpan w:val="5"/>
          </w:tcPr>
          <w:p>
            <w:pPr>
              <w:pStyle w:val="Compact"/>
              <w:jc w:val="right"/>
            </w:pPr>
            <w:r>
              <w:t xml:space="preserve">Consumption Tax (10% — Japan Tokyo standard rate)</w:t>
            </w:r>
          </w:p>
        </w:tc>
        <w:tc>
          <w:tcPr/>
          <w:p>
            <w:pPr>
              <w:pStyle w:val="Compact"/>
              <w:jc w:val="left"/>
            </w:pPr>
            <w:r>
              <w:t xml:space="preserve">904,400</w:t>
            </w:r>
          </w:p>
        </w:tc>
      </w:tr>
      <w:tr>
        <w:tc>
          <w:tcPr>
            <w:gridSpan w:val="5"/>
          </w:tcPr>
          <w:p>
            <w:pPr>
              <w:pStyle w:val="Compact"/>
              <w:jc w:val="right"/>
            </w:pPr>
            <w:r>
              <w:t xml:space="preserve">TOTAL QUOTATION ESTIMATE AMOUNT</w:t>
            </w:r>
          </w:p>
        </w:tc>
        <w:tc>
          <w:tcPr/>
          <w:p>
            <w:pPr>
              <w:pStyle w:val="Compact"/>
              <w:jc w:val="left"/>
            </w:pPr>
            <w:r>
              <w:t xml:space="preserve">9,948,400</w:t>
            </w:r>
          </w:p>
        </w:tc>
      </w:tr>
    </w:tbl>
    <w:p>
      <w:pPr>
        <w:pStyle w:val="BodyText"/>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the expiry date, the Chemist Provider reserves the right to revise pricing due to fluctuations in reagent costs, labor rates, or regulatory changes in Japan Tokyo.</w:t>
      </w:r>
    </w:p>
    <w:p>
      <w:pPr>
        <w:numPr>
          <w:ilvl w:val="0"/>
          <w:numId w:val="1001"/>
        </w:numPr>
        <w:pStyle w:val="Compact"/>
      </w:pPr>
      <w:r>
        <w:rPr>
          <w:bCs/>
          <w:b/>
        </w:rPr>
        <w:t xml:space="preserve">Payment Terms:</w:t>
      </w:r>
      <w:r>
        <w:t xml:space="preserve"> </w:t>
      </w:r>
      <w:r>
        <w:t xml:space="preserve">Payment shall be made within thirty (30) days from the date of invoice issuance. A 50% advance payment is required upon acceptance of this Quotation Estimate to secure laboratory scheduling and Chemist team allocation in Japan Tokyo.</w:t>
      </w:r>
    </w:p>
    <w:p>
      <w:pPr>
        <w:numPr>
          <w:ilvl w:val="0"/>
          <w:numId w:val="1001"/>
        </w:numPr>
        <w:pStyle w:val="Compact"/>
      </w:pPr>
      <w:r>
        <w:rPr>
          <w:bCs/>
          <w:b/>
        </w:rPr>
        <w:t xml:space="preserve">Scope Changes:</w:t>
      </w:r>
      <w:r>
        <w:t xml:space="preserve"> </w:t>
      </w:r>
      <w:r>
        <w:t xml:space="preserve">Any modifications to the scope of chemist services outlined in this Quotation Estimate must be agreed upon in writing by both parties. Additional services will be subject to a supplementary Quotation Estimate issued by the Chemist Provider.</w:t>
      </w:r>
    </w:p>
    <w:p>
      <w:pPr>
        <w:numPr>
          <w:ilvl w:val="0"/>
          <w:numId w:val="1001"/>
        </w:numPr>
        <w:pStyle w:val="Compact"/>
      </w:pPr>
      <w:r>
        <w:rPr>
          <w:bCs/>
          <w:b/>
        </w:rPr>
        <w:t xml:space="preserve">Confidentiality:</w:t>
      </w:r>
      <w:r>
        <w:t xml:space="preserve"> </w:t>
      </w:r>
      <w:r>
        <w:t xml:space="preserve">All data, formulations, and research materials handled by the Chemist team in Japan Tokyo shall be treated as strictly confidential. A separate Non-Disclosure Agreement (NDA) must be executed prior to the commencement of any service.</w:t>
      </w:r>
    </w:p>
    <w:p>
      <w:pPr>
        <w:numPr>
          <w:ilvl w:val="0"/>
          <w:numId w:val="1001"/>
        </w:numPr>
        <w:pStyle w:val="Compact"/>
      </w:pPr>
      <w:r>
        <w:rPr>
          <w:bCs/>
          <w:b/>
        </w:rPr>
        <w:t xml:space="preserve">Regulatory Compliance:</w:t>
      </w:r>
      <w:r>
        <w:t xml:space="preserve"> </w:t>
      </w:r>
      <w:r>
        <w:t xml:space="preserve">The Chemist Provider guarantees that all services will comply with the Pharmaceutical and Medical Device Act, the Poisonous and Deleterious Substances Control Act, and all applicable local ordinances in Japan Tokyo. The client is responsible for providing all necessary permits and approvals.</w:t>
      </w:r>
    </w:p>
    <w:p>
      <w:pPr>
        <w:numPr>
          <w:ilvl w:val="0"/>
          <w:numId w:val="1001"/>
        </w:numPr>
        <w:pStyle w:val="Compact"/>
      </w:pPr>
      <w:r>
        <w:rPr>
          <w:bCs/>
          <w:b/>
        </w:rPr>
        <w:t xml:space="preserve">Force Majeure:</w:t>
      </w:r>
      <w:r>
        <w:t xml:space="preserve"> </w:t>
      </w:r>
      <w:r>
        <w:t xml:space="preserve">Neither party shall be liable for delays or failures in performance resulting from natural disasters, government regulations, or other events beyond reasonable control, particularly those affecting operations in Japan Tokyo.</w:t>
      </w:r>
    </w:p>
    <w:p>
      <w:pPr>
        <w:numPr>
          <w:ilvl w:val="0"/>
          <w:numId w:val="1001"/>
        </w:numPr>
        <w:pStyle w:val="Compact"/>
      </w:pPr>
      <w:r>
        <w:rPr>
          <w:bCs/>
          <w:b/>
        </w:rPr>
        <w:t xml:space="preserve">Governing Law:</w:t>
      </w:r>
      <w:r>
        <w:t xml:space="preserve"> </w:t>
      </w:r>
      <w:r>
        <w:t xml:space="preserve">This Quotation Estimate and any resulting contract shall be governed by and construed in accordance with the laws of Japan. Any disputes shall be resolved through arbitration in Tokyo, Japan Tokyo, under the rules of the Japan Commercial Arbitration Association.</w:t>
      </w:r>
    </w:p>
    <w:p>
      <w:pPr>
        <w:numPr>
          <w:ilvl w:val="0"/>
          <w:numId w:val="1001"/>
        </w:numPr>
        <w:pStyle w:val="Compact"/>
      </w:pPr>
      <w:r>
        <w:rPr>
          <w:bCs/>
          <w:b/>
        </w:rPr>
        <w:t xml:space="preserve">Acceptance:</w:t>
      </w:r>
      <w:r>
        <w:t xml:space="preserve"> </w:t>
      </w:r>
      <w:r>
        <w:t xml:space="preserve">This Quotation Estimate does not constitute a binding contract until formally accepted in writing by the client and countersigned by an authorized representative of the Chemist Provider.</w:t>
      </w:r>
    </w:p>
    <w:p>
      <w:pPr>
        <w:pStyle w:val="FirstParagraph"/>
      </w:pPr>
      <w:r>
        <w:t xml:space="preserve">4. DELIVERY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Chemist Service Phase</w:t>
            </w:r>
          </w:p>
        </w:tc>
        <w:tc>
          <w:tcPr/>
          <w:p>
            <w:pPr>
              <w:pStyle w:val="Compact"/>
              <w:jc w:val="left"/>
            </w:pPr>
            <w:r>
              <w:t xml:space="preserve">Estimated Completion</w:t>
            </w:r>
          </w:p>
        </w:tc>
      </w:tr>
      <w:tr>
        <w:tc>
          <w:tcPr/>
          <w:p>
            <w:pPr>
              <w:pStyle w:val="Compact"/>
              <w:jc w:val="left"/>
            </w:pPr>
            <w:r>
              <w:t xml:space="preserve">Milestone 1</w:t>
            </w:r>
          </w:p>
        </w:tc>
        <w:tc>
          <w:tcPr/>
          <w:p>
            <w:pPr>
              <w:pStyle w:val="Compact"/>
              <w:jc w:val="left"/>
            </w:pPr>
            <w:r>
              <w:t xml:space="preserve">Initial consultation, formulation design, and laboratory setup in Japan Tokyo</w:t>
            </w:r>
          </w:p>
        </w:tc>
        <w:tc>
          <w:tcPr/>
          <w:p>
            <w:pPr>
              <w:pStyle w:val="Compact"/>
              <w:jc w:val="left"/>
            </w:pPr>
            <w:r>
              <w:t xml:space="preserve">Week 1–2</w:t>
            </w:r>
          </w:p>
        </w:tc>
      </w:tr>
      <w:tr>
        <w:tc>
          <w:tcPr/>
          <w:p>
            <w:pPr>
              <w:pStyle w:val="Compact"/>
              <w:jc w:val="left"/>
            </w:pPr>
            <w:r>
              <w:t xml:space="preserve">Milestone 2</w:t>
            </w:r>
          </w:p>
        </w:tc>
        <w:tc>
          <w:tcPr/>
          <w:p>
            <w:pPr>
              <w:pStyle w:val="Compact"/>
              <w:jc w:val="left"/>
            </w:pPr>
            <w:r>
              <w:t xml:space="preserve">HPLC and GC-MS analytical testing (all 180 samples)</w:t>
            </w:r>
          </w:p>
        </w:tc>
        <w:tc>
          <w:tcPr/>
          <w:p>
            <w:pPr>
              <w:pStyle w:val="Compact"/>
              <w:jc w:val="left"/>
            </w:pPr>
            <w:r>
              <w:t xml:space="preserve">Week 3–6</w:t>
            </w:r>
          </w:p>
        </w:tc>
      </w:tr>
      <w:tr>
        <w:tc>
          <w:tcPr/>
          <w:p>
            <w:pPr>
              <w:pStyle w:val="Compact"/>
              <w:jc w:val="left"/>
            </w:pPr>
            <w:r>
              <w:t xml:space="preserve">Milestone 3</w:t>
            </w:r>
          </w:p>
        </w:tc>
        <w:tc>
          <w:tcPr/>
          <w:p>
            <w:pPr>
              <w:pStyle w:val="Compact"/>
              <w:jc w:val="left"/>
            </w:pPr>
            <w:r>
              <w:t xml:space="preserve">Pharmaceutical compounding and batch manufacturing</w:t>
            </w:r>
          </w:p>
        </w:tc>
        <w:tc>
          <w:tcPr/>
          <w:p>
            <w:pPr>
              <w:pStyle w:val="Compact"/>
              <w:jc w:val="left"/>
            </w:pPr>
            <w:r>
              <w:t xml:space="preserve">Week 7–10</w:t>
            </w:r>
          </w:p>
        </w:tc>
      </w:tr>
      <w:tr>
        <w:tc>
          <w:tcPr/>
          <w:p>
            <w:pPr>
              <w:pStyle w:val="Compact"/>
              <w:jc w:val="left"/>
            </w:pPr>
            <w:r>
              <w:t xml:space="preserve">Milestone 4</w:t>
            </w:r>
          </w:p>
        </w:tc>
        <w:tc>
          <w:tcPr/>
          <w:p>
            <w:pPr>
              <w:pStyle w:val="Compact"/>
              <w:jc w:val="left"/>
            </w:pPr>
            <w:r>
              <w:t xml:space="preserve">GMP audit, regulatory documentation, and PMDA submission</w:t>
            </w:r>
          </w:p>
        </w:tc>
        <w:tc>
          <w:tcPr/>
          <w:p>
            <w:pPr>
              <w:pStyle w:val="Compact"/>
              <w:jc w:val="left"/>
            </w:pPr>
            <w:r>
              <w:t xml:space="preserve">Week 11–14</w:t>
            </w:r>
          </w:p>
        </w:tc>
      </w:tr>
      <w:tr>
        <w:tc>
          <w:tcPr/>
          <w:p>
            <w:pPr>
              <w:pStyle w:val="Compact"/>
              <w:jc w:val="left"/>
            </w:pPr>
            <w:r>
              <w:t xml:space="preserve">Milestone 5</w:t>
            </w:r>
          </w:p>
        </w:tc>
        <w:tc>
          <w:tcPr/>
          <w:p>
            <w:pPr>
              <w:pStyle w:val="Compact"/>
              <w:jc w:val="left"/>
            </w:pPr>
            <w:r>
              <w:t xml:space="preserve">Final reporting, staff training, and project handover in Japan Tokyo</w:t>
            </w:r>
          </w:p>
        </w:tc>
        <w:tc>
          <w:tcPr/>
          <w:p>
            <w:pPr>
              <w:pStyle w:val="Compact"/>
              <w:jc w:val="left"/>
            </w:pPr>
            <w:r>
              <w:t xml:space="preserve">Week 15</w:t>
            </w:r>
          </w:p>
        </w:tc>
      </w:tr>
    </w:tbl>
    <w:p>
      <w:pPr>
        <w:pStyle w:val="BodyText"/>
      </w:pPr>
      <w:r>
        <w:t xml:space="preserve">5. ACCEPTANCE AND AUTHORIZATION</w:t>
      </w:r>
    </w:p>
    <w:p>
      <w:pPr>
        <w:pStyle w:val="BodyText"/>
      </w:pPr>
      <w:r>
        <w:t xml:space="preserve">By signing below, the client acknowledges receipt of this Quotation Estimate for chemist services in Japan Tokyo and agrees to the terms and conditions set forth herein. The Chemist Provider confirms that all listed services will be performed by qualified, licensed chemists operating under the regulatory framework of Japan Tokyo.</w:t>
      </w:r>
    </w:p>
    <w:p>
      <w:pPr>
        <w:pStyle w:val="BodyText"/>
      </w:pPr>
      <w:r>
        <w:rPr>
          <w:bCs/>
          <w:b/>
        </w:rPr>
        <w:t xml:space="preserve">For: Tokyo Precision Chemist Laboratory Co., Ltd.</w:t>
      </w:r>
      <w:r>
        <w:br/>
      </w:r>
      <w:r>
        <w:t xml:space="preserve">Name: Dr. Hiroshi Yamamoto</w:t>
      </w:r>
      <w:r>
        <w:br/>
      </w:r>
      <w:r>
        <w:t xml:space="preserve">Title: Chief Chemist &amp; Managing Director</w:t>
      </w:r>
      <w:r>
        <w:br/>
      </w:r>
      <w:r>
        <w:t xml:space="preserve">Date: _______________</w:t>
      </w:r>
    </w:p>
    <w:p>
      <w:pPr>
        <w:pStyle w:val="BodyText"/>
      </w:pPr>
      <w:r>
        <w:rPr>
          <w:bCs/>
          <w:b/>
        </w:rPr>
        <w:t xml:space="preserve">For: Tanaka Pharmaceutical Research Institute</w:t>
      </w:r>
      <w:r>
        <w:br/>
      </w:r>
      <w:r>
        <w:t xml:space="preserve">Name: Dr. Kenji Tanaka</w:t>
      </w:r>
      <w:r>
        <w:br/>
      </w:r>
      <w:r>
        <w:t xml:space="preserve">Title: Director of Research &amp; Development</w:t>
      </w:r>
      <w:r>
        <w:br/>
      </w:r>
      <w:r>
        <w:t xml:space="preserve">Date: _______________</w:t>
      </w:r>
    </w:p>
    <w:p>
      <w:pPr>
        <w:pStyle w:val="BodyText"/>
      </w:pPr>
      <w:r>
        <w:t xml:space="preserve">This Quotation Estimate (QTE-2025-TKY-0487) is issued by Tokyo Precision Chemist Laboratory Co., Ltd., Japan Tokyo.</w:t>
      </w:r>
      <w:r>
        <w:br/>
      </w:r>
      <w:r>
        <w:t xml:space="preserve">This document is confidential and intended solely for the named recipient. Unauthorized reproduction or distribution is prohibited.</w:t>
      </w:r>
      <w:r>
        <w:br/>
      </w:r>
      <w:r>
        <w:t xml:space="preserve">© 2025 Tokyo Precision Chemist Laboratory Co.,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Chemist Services - Japan Tokyo</dc:title>
  <dc:creator/>
  <dc:language>en</dc:language>
  <cp:keywords/>
  <dcterms:created xsi:type="dcterms:W3CDTF">2026-10-10T06:19:53Z</dcterms:created>
  <dcterms:modified xsi:type="dcterms:W3CDTF">2026-10-10T06:19:53Z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