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Chemist Services &amp; Pharmaceutical Supply</w:t>
      </w:r>
    </w:p>
    <w:p>
      <w:pPr>
        <w:pStyle w:val="BodyText"/>
      </w:pPr>
      <w:r>
        <w:t xml:space="preserve">Serving Kazakhstan Almaty and Surrounding Regions</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Quotation Reference No.:</w:t>
            </w:r>
            <w:r>
              <w:t xml:space="preserve"> </w:t>
            </w:r>
            <w:r>
              <w:t xml:space="preserve">QE-KZ-ALM-2025-0487</w:t>
            </w:r>
          </w:p>
          <w:p>
            <w:pPr>
              <w:jc w:val="left"/>
            </w:pPr>
            <w:r>
              <w:rPr>
                <w:bCs/>
                <w:b/>
              </w:rPr>
              <w:t xml:space="preserve">Date of Issue:</w:t>
            </w:r>
            <w:r>
              <w:t xml:space="preserve"> </w:t>
            </w:r>
            <w:r>
              <w:t xml:space="preserve">15 June 2025</w:t>
            </w:r>
          </w:p>
          <w:p>
            <w:pPr>
              <w:jc w:val="left"/>
            </w:pPr>
            <w:r>
              <w:rPr>
                <w:bCs/>
                <w:b/>
              </w:rPr>
              <w:t xml:space="preserve">Valid Until:</w:t>
            </w:r>
            <w:r>
              <w:t xml:space="preserve"> </w:t>
            </w:r>
            <w:r>
              <w:t xml:space="preserve">15 July 2025</w:t>
            </w:r>
          </w:p>
          <w:p>
            <w:pPr>
              <w:jc w:val="left"/>
            </w:pPr>
            <w:r>
              <w:rPr>
                <w:bCs/>
                <w:b/>
              </w:rPr>
              <w:t xml:space="preserve">Currency:</w:t>
            </w:r>
            <w:r>
              <w:t xml:space="preserve"> </w:t>
            </w:r>
            <w:r>
              <w:t xml:space="preserve">Kazakhstani Tenge (KZT)</w:t>
            </w:r>
          </w:p>
        </w:tc>
        <w:tc>
          <w:tcPr/>
          <w:p>
            <w:pPr>
              <w:jc w:val="left"/>
            </w:pPr>
            <w:r>
              <w:rPr>
                <w:bCs/>
                <w:b/>
              </w:rPr>
              <w:t xml:space="preserve">Prepared By:</w:t>
            </w:r>
            <w:r>
              <w:t xml:space="preserve"> </w:t>
            </w:r>
            <w:r>
              <w:t xml:space="preserve">Almaty Chemist &amp; Pharmaceutical Solutions LLP</w:t>
            </w:r>
          </w:p>
          <w:p>
            <w:pPr>
              <w:jc w:val="left"/>
            </w:pPr>
            <w:r>
              <w:rPr>
                <w:bCs/>
                <w:b/>
              </w:rPr>
              <w:t xml:space="preserve">Address:</w:t>
            </w:r>
            <w:r>
              <w:t xml:space="preserve"> </w:t>
            </w:r>
            <w:r>
              <w:t xml:space="preserve">42 Abay Avenue, Almaty, Kazakhstan 050040</w:t>
            </w:r>
          </w:p>
          <w:p>
            <w:pPr>
              <w:jc w:val="left"/>
            </w:pPr>
            <w:r>
              <w:rPr>
                <w:bCs/>
                <w:b/>
              </w:rPr>
              <w:t xml:space="preserve">Contact:</w:t>
            </w:r>
            <w:r>
              <w:t xml:space="preserve"> </w:t>
            </w:r>
            <w:r>
              <w:t xml:space="preserve">+7 (727) 555-0142</w:t>
            </w:r>
          </w:p>
          <w:p>
            <w:pPr>
              <w:jc w:val="left"/>
            </w:pPr>
            <w:r>
              <w:rPr>
                <w:bCs/>
                <w:b/>
              </w:rPr>
              <w:t xml:space="preserve">Email:</w:t>
            </w:r>
            <w:r>
              <w:t xml:space="preserve"> </w:t>
            </w:r>
            <w:r>
              <w:t xml:space="preserve">quotes@almatychemist.kz</w:t>
            </w:r>
          </w:p>
        </w:tc>
      </w:tr>
    </w:tbl>
    <w:bookmarkStart w:id="21" w:name="prepared-for"/>
    <w:p>
      <w:pPr>
        <w:pStyle w:val="Heading3"/>
      </w:pPr>
      <w:r>
        <w:t xml:space="preserve">Prepared For:</w:t>
      </w:r>
    </w:p>
    <w:p>
      <w:pPr>
        <w:pStyle w:val="FirstParagraph"/>
      </w:pPr>
      <w:r>
        <w:rPr>
          <w:bCs/>
          <w:b/>
        </w:rPr>
        <w:t xml:space="preserve">Client Name:</w:t>
      </w:r>
      <w:r>
        <w:t xml:space="preserve"> </w:t>
      </w:r>
      <w:r>
        <w:t xml:space="preserve">Tengri Medical Laboratories JSC</w:t>
      </w:r>
    </w:p>
    <w:p>
      <w:pPr>
        <w:pStyle w:val="BodyText"/>
      </w:pPr>
      <w:r>
        <w:rPr>
          <w:bCs/>
          <w:b/>
        </w:rPr>
        <w:t xml:space="preserve">Address:</w:t>
      </w:r>
      <w:r>
        <w:t xml:space="preserve"> </w:t>
      </w:r>
      <w:r>
        <w:t xml:space="preserve">18 Dostyk Avenue, Almaty, Kazakhstan 050000</w:t>
      </w:r>
    </w:p>
    <w:p>
      <w:pPr>
        <w:pStyle w:val="BodyText"/>
      </w:pPr>
      <w:r>
        <w:rPr>
          <w:bCs/>
          <w:b/>
        </w:rPr>
        <w:t xml:space="preserve">Attention:</w:t>
      </w:r>
      <w:r>
        <w:t xml:space="preserve"> </w:t>
      </w:r>
      <w:r>
        <w:t xml:space="preserve">Dr. Aigerim Nurlanova, Chief Procurement Officer</w:t>
      </w:r>
    </w:p>
    <w:p>
      <w:pPr>
        <w:pStyle w:val="BodyText"/>
      </w:pPr>
      <w:r>
        <w:rPr>
          <w:bCs/>
          <w:b/>
        </w:rPr>
        <w:t xml:space="preserve">Registration No.:</w:t>
      </w:r>
      <w:r>
        <w:t xml:space="preserve"> </w:t>
      </w:r>
      <w:r>
        <w:t xml:space="preserve">990740012345</w:t>
      </w:r>
    </w:p>
    <w:bookmarkEnd w:id="21"/>
    <w:bookmarkStart w:id="22" w:name="scope-of-quotation-estimate"/>
    <w:p>
      <w:pPr>
        <w:pStyle w:val="Heading2"/>
      </w:pPr>
      <w:r>
        <w:t xml:space="preserve">1. Scope of Quotation Estimate</w:t>
      </w:r>
    </w:p>
    <w:p>
      <w:pPr>
        <w:pStyle w:val="FirstParagraph"/>
      </w:pPr>
      <w:r>
        <w:t xml:space="preserve">This Quotation Estimate is issued by Almaty Chemist &amp; Pharmaceutical Solutions LLP (hereinafter referred to as "the Chemist Provider") in response to the formal request for quotation submitted by Tengri Medical Laboratories JSC. This document outlines the comprehensive pricing, terms, and conditions for the supply of certified chemical reagents, pharmaceutical-grade compounds, laboratory consumables, and professional chemist consultation services to be delivered and utilized within Kazakhstan Almaty. All pricing in this Quotation Estimate reflects current market rates applicable to the Kazakhstan Almaty region and includes compliance with the Republic of Kazakhstan's pharmaceutical and chemical regulations as enforced by the Committee for Pharmaceutical and Medical Devices.</w:t>
      </w:r>
    </w:p>
    <w:bookmarkEnd w:id="22"/>
    <w:bookmarkStart w:id="23" w:name="itemized-pricing-schedule"/>
    <w:p>
      <w:pPr>
        <w:pStyle w:val="Heading2"/>
      </w:pPr>
      <w:r>
        <w:t xml:space="preserve">2. Itemized Pricing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Chemist Product / Service</w:t>
            </w:r>
          </w:p>
        </w:tc>
        <w:tc>
          <w:tcPr/>
          <w:p>
            <w:pPr>
              <w:pStyle w:val="Compact"/>
              <w:jc w:val="center"/>
            </w:pPr>
            <w:r>
              <w:t xml:space="preserve">Qty</w:t>
            </w:r>
          </w:p>
        </w:tc>
        <w:tc>
          <w:tcPr/>
          <w:p>
            <w:pPr>
              <w:pStyle w:val="Compact"/>
              <w:jc w:val="right"/>
            </w:pPr>
            <w:r>
              <w:t xml:space="preserve">Unit Price (KZT)</w:t>
            </w:r>
          </w:p>
        </w:tc>
        <w:tc>
          <w:tcPr/>
          <w:p>
            <w:pPr>
              <w:pStyle w:val="Compact"/>
              <w:jc w:val="right"/>
            </w:pPr>
            <w:r>
              <w:t xml:space="preserve">Total (KZT)</w:t>
            </w:r>
          </w:p>
        </w:tc>
      </w:tr>
      <w:tr>
        <w:tc>
          <w:tcPr/>
          <w:p>
            <w:pPr>
              <w:pStyle w:val="Compact"/>
              <w:jc w:val="left"/>
            </w:pPr>
            <w:r>
              <w:t xml:space="preserve">01</w:t>
            </w:r>
          </w:p>
        </w:tc>
        <w:tc>
          <w:tcPr/>
          <w:p>
            <w:pPr>
              <w:pStyle w:val="Compact"/>
              <w:jc w:val="left"/>
            </w:pPr>
            <w:r>
              <w:t xml:space="preserve">Analytical-grade Sodium Hydroxide (NaOH), 500g bottles, certified for pharmaceutical use in Kazakhstan Almaty laboratories</w:t>
            </w:r>
          </w:p>
        </w:tc>
        <w:tc>
          <w:tcPr/>
          <w:p>
            <w:pPr>
              <w:pStyle w:val="Compact"/>
              <w:jc w:val="center"/>
            </w:pPr>
            <w:r>
              <w:t xml:space="preserve">20</w:t>
            </w:r>
          </w:p>
        </w:tc>
        <w:tc>
          <w:tcPr/>
          <w:p>
            <w:pPr>
              <w:pStyle w:val="Compact"/>
              <w:jc w:val="right"/>
            </w:pPr>
            <w:r>
              <w:t xml:space="preserve">4,850</w:t>
            </w:r>
          </w:p>
        </w:tc>
        <w:tc>
          <w:tcPr/>
          <w:p>
            <w:pPr>
              <w:pStyle w:val="Compact"/>
              <w:jc w:val="right"/>
            </w:pPr>
            <w:r>
              <w:t xml:space="preserve">97,000</w:t>
            </w:r>
          </w:p>
        </w:tc>
      </w:tr>
      <w:tr>
        <w:tc>
          <w:tcPr/>
          <w:p>
            <w:pPr>
              <w:pStyle w:val="Compact"/>
              <w:jc w:val="left"/>
            </w:pPr>
            <w:r>
              <w:t xml:space="preserve">02</w:t>
            </w:r>
          </w:p>
        </w:tc>
        <w:tc>
          <w:tcPr/>
          <w:p>
            <w:pPr>
              <w:pStyle w:val="Compact"/>
              <w:jc w:val="left"/>
            </w:pPr>
            <w:r>
              <w:t xml:space="preserve">HPLC-grade Acetonitrile, 1L bottles, GMP-compliant, supplied by certified Chemist distributor</w:t>
            </w:r>
          </w:p>
        </w:tc>
        <w:tc>
          <w:tcPr/>
          <w:p>
            <w:pPr>
              <w:pStyle w:val="Compact"/>
              <w:jc w:val="center"/>
            </w:pPr>
            <w:r>
              <w:t xml:space="preserve">15</w:t>
            </w:r>
          </w:p>
        </w:tc>
        <w:tc>
          <w:tcPr/>
          <w:p>
            <w:pPr>
              <w:pStyle w:val="Compact"/>
              <w:jc w:val="right"/>
            </w:pPr>
            <w:r>
              <w:t xml:space="preserve">18,200</w:t>
            </w:r>
          </w:p>
        </w:tc>
        <w:tc>
          <w:tcPr/>
          <w:p>
            <w:pPr>
              <w:pStyle w:val="Compact"/>
              <w:jc w:val="right"/>
            </w:pPr>
            <w:r>
              <w:t xml:space="preserve">273,000</w:t>
            </w:r>
          </w:p>
        </w:tc>
      </w:tr>
      <w:tr>
        <w:tc>
          <w:tcPr/>
          <w:p>
            <w:pPr>
              <w:pStyle w:val="Compact"/>
              <w:jc w:val="left"/>
            </w:pPr>
            <w:r>
              <w:t xml:space="preserve">03</w:t>
            </w:r>
          </w:p>
        </w:tc>
        <w:tc>
          <w:tcPr/>
          <w:p>
            <w:pPr>
              <w:pStyle w:val="Compact"/>
              <w:jc w:val="left"/>
            </w:pPr>
            <w:r>
              <w:t xml:space="preserve">Pharmaceutical-grade Lactose Monohydrate, 1kg packs, suitable for tablet formulation in Kazakhstan Almaty</w:t>
            </w:r>
          </w:p>
        </w:tc>
        <w:tc>
          <w:tcPr/>
          <w:p>
            <w:pPr>
              <w:pStyle w:val="Compact"/>
              <w:jc w:val="center"/>
            </w:pPr>
            <w:r>
              <w:t xml:space="preserve">30</w:t>
            </w:r>
          </w:p>
        </w:tc>
        <w:tc>
          <w:tcPr/>
          <w:p>
            <w:pPr>
              <w:pStyle w:val="Compact"/>
              <w:jc w:val="right"/>
            </w:pPr>
            <w:r>
              <w:t xml:space="preserve">6,400</w:t>
            </w:r>
          </w:p>
        </w:tc>
        <w:tc>
          <w:tcPr/>
          <w:p>
            <w:pPr>
              <w:pStyle w:val="Compact"/>
              <w:jc w:val="right"/>
            </w:pPr>
            <w:r>
              <w:t xml:space="preserve">192,000</w:t>
            </w:r>
          </w:p>
        </w:tc>
      </w:tr>
      <w:tr>
        <w:tc>
          <w:tcPr/>
          <w:p>
            <w:pPr>
              <w:pStyle w:val="Compact"/>
              <w:jc w:val="left"/>
            </w:pPr>
            <w:r>
              <w:t xml:space="preserve">04</w:t>
            </w:r>
          </w:p>
        </w:tc>
        <w:tc>
          <w:tcPr/>
          <w:p>
            <w:pPr>
              <w:pStyle w:val="Compact"/>
              <w:jc w:val="left"/>
            </w:pPr>
            <w:r>
              <w:t xml:space="preserve">Professional Chemist Consultation – Formulation Development &amp; Stability Testing (per session, 4 hours)</w:t>
            </w:r>
          </w:p>
        </w:tc>
        <w:tc>
          <w:tcPr/>
          <w:p>
            <w:pPr>
              <w:pStyle w:val="Compact"/>
              <w:jc w:val="center"/>
            </w:pPr>
            <w:r>
              <w:t xml:space="preserve">6</w:t>
            </w:r>
          </w:p>
        </w:tc>
        <w:tc>
          <w:tcPr/>
          <w:p>
            <w:pPr>
              <w:pStyle w:val="Compact"/>
              <w:jc w:val="right"/>
            </w:pPr>
            <w:r>
              <w:t xml:space="preserve">85,000</w:t>
            </w:r>
          </w:p>
        </w:tc>
        <w:tc>
          <w:tcPr/>
          <w:p>
            <w:pPr>
              <w:pStyle w:val="Compact"/>
              <w:jc w:val="right"/>
            </w:pPr>
            <w:r>
              <w:t xml:space="preserve">510,000</w:t>
            </w:r>
          </w:p>
        </w:tc>
      </w:tr>
      <w:tr>
        <w:tc>
          <w:tcPr/>
          <w:p>
            <w:pPr>
              <w:pStyle w:val="Compact"/>
              <w:jc w:val="left"/>
            </w:pPr>
            <w:r>
              <w:t xml:space="preserve">05</w:t>
            </w:r>
          </w:p>
        </w:tc>
        <w:tc>
          <w:tcPr/>
          <w:p>
            <w:pPr>
              <w:pStyle w:val="Compact"/>
              <w:jc w:val="left"/>
            </w:pPr>
            <w:r>
              <w:t xml:space="preserve">Certified Chemical Analysis Panel – Heavy Metals &amp; Residual Solvents (per batch, Kazakhstan Almaty lab facility)</w:t>
            </w:r>
          </w:p>
        </w:tc>
        <w:tc>
          <w:tcPr/>
          <w:p>
            <w:pPr>
              <w:pStyle w:val="Compact"/>
              <w:jc w:val="center"/>
            </w:pPr>
            <w:r>
              <w:t xml:space="preserve">12</w:t>
            </w:r>
          </w:p>
        </w:tc>
        <w:tc>
          <w:tcPr/>
          <w:p>
            <w:pPr>
              <w:pStyle w:val="Compact"/>
              <w:jc w:val="right"/>
            </w:pPr>
            <w:r>
              <w:t xml:space="preserve">42,500</w:t>
            </w:r>
          </w:p>
        </w:tc>
        <w:tc>
          <w:tcPr/>
          <w:p>
            <w:pPr>
              <w:pStyle w:val="Compact"/>
              <w:jc w:val="right"/>
            </w:pPr>
            <w:r>
              <w:t xml:space="preserve">510,000</w:t>
            </w:r>
          </w:p>
        </w:tc>
      </w:tr>
      <w:tr>
        <w:tc>
          <w:tcPr/>
          <w:p>
            <w:pPr>
              <w:pStyle w:val="Compact"/>
              <w:jc w:val="left"/>
            </w:pPr>
            <w:r>
              <w:t xml:space="preserve">06</w:t>
            </w:r>
          </w:p>
        </w:tc>
        <w:tc>
          <w:tcPr/>
          <w:p>
            <w:pPr>
              <w:pStyle w:val="Compact"/>
              <w:jc w:val="left"/>
            </w:pPr>
            <w:r>
              <w:t xml:space="preserve">Laboratory Glassware &amp; Consumables Kit (beakers, flasks, pipettes, filter paper) – Chemist-grade</w:t>
            </w:r>
          </w:p>
        </w:tc>
        <w:tc>
          <w:tcPr/>
          <w:p>
            <w:pPr>
              <w:pStyle w:val="Compact"/>
              <w:jc w:val="center"/>
            </w:pPr>
            <w:r>
              <w:t xml:space="preserve">5</w:t>
            </w:r>
          </w:p>
        </w:tc>
        <w:tc>
          <w:tcPr/>
          <w:p>
            <w:pPr>
              <w:pStyle w:val="Compact"/>
              <w:jc w:val="right"/>
            </w:pPr>
            <w:r>
              <w:t xml:space="preserve">38,000</w:t>
            </w:r>
          </w:p>
        </w:tc>
        <w:tc>
          <w:tcPr/>
          <w:p>
            <w:pPr>
              <w:pStyle w:val="Compact"/>
              <w:jc w:val="right"/>
            </w:pPr>
            <w:r>
              <w:t xml:space="preserve">190,000</w:t>
            </w:r>
          </w:p>
        </w:tc>
      </w:tr>
      <w:tr>
        <w:tc>
          <w:tcPr/>
          <w:p>
            <w:pPr>
              <w:pStyle w:val="Compact"/>
              <w:jc w:val="left"/>
            </w:pPr>
            <w:r>
              <w:t xml:space="preserve">07</w:t>
            </w:r>
          </w:p>
        </w:tc>
        <w:tc>
          <w:tcPr/>
          <w:p>
            <w:pPr>
              <w:pStyle w:val="Compact"/>
              <w:jc w:val="left"/>
            </w:pPr>
            <w:r>
              <w:t xml:space="preserve">Cold-chain Logistics &amp; Delivery within Kazakhstan Almaty metropolitan area (per shipment)</w:t>
            </w:r>
          </w:p>
        </w:tc>
        <w:tc>
          <w:tcPr/>
          <w:p>
            <w:pPr>
              <w:pStyle w:val="Compact"/>
              <w:jc w:val="center"/>
            </w:pPr>
            <w:r>
              <w:t xml:space="preserve">4</w:t>
            </w:r>
          </w:p>
        </w:tc>
        <w:tc>
          <w:tcPr/>
          <w:p>
            <w:pPr>
              <w:pStyle w:val="Compact"/>
              <w:jc w:val="right"/>
            </w:pPr>
            <w:r>
              <w:t xml:space="preserve">12,500</w:t>
            </w:r>
          </w:p>
        </w:tc>
        <w:tc>
          <w:tcPr/>
          <w:p>
            <w:pPr>
              <w:pStyle w:val="Compact"/>
              <w:jc w:val="right"/>
            </w:pPr>
            <w:r>
              <w:t xml:space="preserve">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1,822,000 KZT</w:t>
            </w:r>
          </w:p>
        </w:tc>
      </w:tr>
      <w:tr>
        <w:tc>
          <w:tcPr/>
          <w:p>
            <w:pPr>
              <w:pStyle w:val="Compact"/>
              <w:jc w:val="left"/>
            </w:pPr>
            <w:r>
              <w:t xml:space="preserve">VAT (12% – Kazakhstan Standard Rate)</w:t>
            </w:r>
          </w:p>
        </w:tc>
        <w:tc>
          <w:tcPr/>
          <w:p>
            <w:pPr>
              <w:pStyle w:val="Compact"/>
              <w:jc w:val="right"/>
            </w:pPr>
            <w:r>
              <w:t xml:space="preserve">218,640 KZT</w:t>
            </w:r>
          </w:p>
        </w:tc>
      </w:tr>
      <w:tr>
        <w:tc>
          <w:tcPr/>
          <w:p>
            <w:pPr>
              <w:pStyle w:val="Compact"/>
              <w:jc w:val="left"/>
            </w:pPr>
            <w:r>
              <w:t xml:space="preserve">GRAND TOTAL</w:t>
            </w:r>
          </w:p>
        </w:tc>
        <w:tc>
          <w:tcPr/>
          <w:p>
            <w:pPr>
              <w:pStyle w:val="Compact"/>
              <w:jc w:val="right"/>
            </w:pPr>
            <w:r>
              <w:t xml:space="preserve">2,040,640 KZT</w:t>
            </w:r>
          </w:p>
        </w:tc>
      </w:tr>
    </w:tbl>
    <w:bookmarkEnd w:id="23"/>
    <w:bookmarkStart w:id="24"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a period of thirty (30) calendar days from the date of issue. After the expiry date, the Chemist Provider reserves the right to revise pricing due to fluctuations in the Kazakhstan Almaty chemical and pharmaceutical market.</w:t>
      </w:r>
    </w:p>
    <w:p>
      <w:pPr>
        <w:numPr>
          <w:ilvl w:val="0"/>
          <w:numId w:val="1001"/>
        </w:numPr>
        <w:pStyle w:val="Compact"/>
      </w:pPr>
      <w:r>
        <w:t xml:space="preserve">All chemical reagents and pharmaceutical compounds listed in this Quotation Estimate are supplied in strict compliance with the Republic of Kazakhstan's Pharmaceutical Code and the requirements of the State Sanitary-Epidemiological Service of Almaty.</w:t>
      </w:r>
    </w:p>
    <w:p>
      <w:pPr>
        <w:numPr>
          <w:ilvl w:val="0"/>
          <w:numId w:val="1001"/>
        </w:numPr>
        <w:pStyle w:val="Compact"/>
      </w:pPr>
      <w:r>
        <w:t xml:space="preserve">Payment terms: 50% advance payment upon acceptance of this Quotation Estimate, with the remaining 50% due within fourteen (14) business days of confirmed delivery to the client's facility in Kazakhstan Almaty.</w:t>
      </w:r>
    </w:p>
    <w:p>
      <w:pPr>
        <w:numPr>
          <w:ilvl w:val="0"/>
          <w:numId w:val="1001"/>
        </w:numPr>
        <w:pStyle w:val="Compact"/>
      </w:pPr>
      <w:r>
        <w:t xml:space="preserve">Delivery is scheduled within five (5) business days of order confirmation. All shipments within the Kazakhstan Almaty city limits are handled by our dedicated cold-chain logistics team to ensure product integrity.</w:t>
      </w:r>
    </w:p>
    <w:p>
      <w:pPr>
        <w:numPr>
          <w:ilvl w:val="0"/>
          <w:numId w:val="1001"/>
        </w:numPr>
        <w:pStyle w:val="Compact"/>
      </w:pPr>
      <w:r>
        <w:t xml:space="preserve">The Chemist Provider guarantees that all products meet or exceed the pharmacopoeial standards recognized in Kazakhstan. Certificates of Analysis (CoA) and Material Safety Data Sheets (MSDS) will accompany every shipment.</w:t>
      </w:r>
    </w:p>
    <w:p>
      <w:pPr>
        <w:numPr>
          <w:ilvl w:val="0"/>
          <w:numId w:val="1001"/>
        </w:numPr>
        <w:pStyle w:val="Compact"/>
      </w:pPr>
      <w:r>
        <w:t xml:space="preserve">Any dispute arising from this Quotation Estimate shall be resolved under the jurisdiction of the Arbitration Court of the City of Almaty, Kazakhstan, in accordance with the applicable laws of the Republic of Kazakhstan.</w:t>
      </w:r>
    </w:p>
    <w:p>
      <w:pPr>
        <w:numPr>
          <w:ilvl w:val="0"/>
          <w:numId w:val="1001"/>
        </w:numPr>
        <w:pStyle w:val="Compact"/>
      </w:pPr>
      <w:r>
        <w:t xml:space="preserve">Force majeure events, including but not limited to natural disasters, government sanctions, or supply chain disruptions affecting the Kazakhstan Almaty region, shall exempt either party from performance obligations during the affected period.</w:t>
      </w:r>
    </w:p>
    <w:p>
      <w:pPr>
        <w:numPr>
          <w:ilvl w:val="0"/>
          <w:numId w:val="1001"/>
        </w:numPr>
        <w:pStyle w:val="Compact"/>
      </w:pPr>
      <w:r>
        <w:t xml:space="preserve">This Quotation Estimate does not constitute a binding contract until formally accepted in writing by both parties. The Chemist Provider may modify terms with prior written notice to the client.</w:t>
      </w:r>
    </w:p>
    <w:bookmarkEnd w:id="24"/>
    <w:bookmarkStart w:id="25" w:name="acceptance-and-authorization"/>
    <w:p>
      <w:pPr>
        <w:pStyle w:val="Heading2"/>
      </w:pPr>
      <w:r>
        <w:t xml:space="preserve">4. Acceptance and Authorization</w:t>
      </w:r>
    </w:p>
    <w:p>
      <w:pPr>
        <w:pStyle w:val="FirstParagraph"/>
      </w:pPr>
      <w:r>
        <w:t xml:space="preserve">By signing below, both parties acknowledge that they have read, understood, and agree to the terms set forth in this Quotation Estimate for Chemist services and pharmaceutical supply in Kazakhstan Almaty. This document serves as the formal basis for the commercial relationship between the Chemist Provider and the client for the scope of work described herein.</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the Chemist Provider:</w:t>
            </w:r>
          </w:p>
          <w:p>
            <w:pPr>
              <w:jc w:val="left"/>
            </w:pPr>
            <w:r>
              <w:t xml:space="preserve">Signature &amp; Name</w:t>
            </w:r>
          </w:p>
          <w:p>
            <w:pPr>
              <w:jc w:val="left"/>
            </w:pPr>
            <w:r>
              <w:t xml:space="preserve">Date: ____________________</w:t>
            </w:r>
          </w:p>
          <w:p>
            <w:pPr>
              <w:jc w:val="left"/>
            </w:pPr>
            <w:r>
              <w:t xml:space="preserve">Company Stamp</w:t>
            </w:r>
          </w:p>
        </w:tc>
        <w:tc>
          <w:tcPr/>
          <w:p>
            <w:pPr>
              <w:jc w:val="left"/>
            </w:pPr>
            <w:r>
              <w:rPr>
                <w:bCs/>
                <w:b/>
              </w:rPr>
              <w:t xml:space="preserve">For the Client (Tengri Medical Laboratories JSC):</w:t>
            </w:r>
          </w:p>
          <w:p>
            <w:pPr>
              <w:jc w:val="left"/>
            </w:pPr>
            <w:r>
              <w:t xml:space="preserve">Signature &amp; Name</w:t>
            </w:r>
          </w:p>
          <w:p>
            <w:pPr>
              <w:jc w:val="left"/>
            </w:pPr>
            <w:r>
              <w:t xml:space="preserve">Date: ____________________</w:t>
            </w:r>
          </w:p>
          <w:p>
            <w:pPr>
              <w:jc w:val="left"/>
            </w:pPr>
            <w:r>
              <w:t xml:space="preserve">Company Stamp</w:t>
            </w:r>
          </w:p>
        </w:tc>
      </w:tr>
    </w:tbl>
    <w:p>
      <w:pPr>
        <w:pStyle w:val="BodyText"/>
      </w:pPr>
      <w:r>
        <w:t xml:space="preserve">This Quotation Estimate was prepared by Almaty Chemist &amp; Pharmaceutical Solutions LLP, registered in Kazakhstan Almaty. Document Ref: QE-KZ-ALM-2025-0487. For inquiries regarding this estimate, please contact our Chemist services department at +7 (727) 555-0142 or quotes@almatychemist.kz.</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Kazakhstan Almaty</dc:title>
  <dc:creator/>
  <dc:language>en</dc:language>
  <cp:keywords/>
  <dcterms:created xsi:type="dcterms:W3CDTF">2026-10-10T02:54:27Z</dcterms:created>
  <dcterms:modified xsi:type="dcterms:W3CDTF">2026-10-10T02:54:27Z</dcterms:modified>
</cp:coreProperties>
</file>

<file path=docProps/custom.xml><?xml version="1.0" encoding="utf-8"?>
<Properties xmlns="http://schemas.openxmlformats.org/officeDocument/2006/custom-properties" xmlns:vt="http://schemas.openxmlformats.org/officeDocument/2006/docPropsVTypes"/>
</file>