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greenleaf-chemist-pharmacy-ltd."/>
    <w:p>
      <w:pPr>
        <w:pStyle w:val="Heading1"/>
      </w:pPr>
      <w:r>
        <w:t xml:space="preserve">GreenLeaf Chemist &amp; Pharmacy Ltd.</w:t>
      </w:r>
    </w:p>
    <w:p>
      <w:pPr>
        <w:pStyle w:val="FirstParagraph"/>
      </w:pPr>
      <w:r>
        <w:t xml:space="preserve">Licence No: PHC/2024/00873</w:t>
      </w:r>
    </w:p>
    <w:p>
      <w:pPr>
        <w:pStyle w:val="BodyText"/>
      </w:pPr>
      <w:r>
        <w:t xml:space="preserve">Plot 45, Riverside Business Park, Mombasa Road</w:t>
      </w:r>
    </w:p>
    <w:p>
      <w:pPr>
        <w:pStyle w:val="BodyText"/>
      </w:pPr>
      <w:r>
        <w:t xml:space="preserve">Nairobi, Kenya</w:t>
      </w:r>
    </w:p>
    <w:p>
      <w:pPr>
        <w:pStyle w:val="BodyText"/>
      </w:pPr>
      <w:r>
        <w:t xml:space="preserve">Tel: +254 722 345 678 | Email: info@greenleafchemist.co.ke</w:t>
      </w:r>
    </w:p>
    <w:p>
      <w:pPr>
        <w:pStyle w:val="BodyText"/>
      </w:pPr>
      <w:r>
        <w:t xml:space="preserve">Physical Therapy &amp; Pharmaceutical Services</w:t>
      </w:r>
    </w:p>
    <w:bookmarkEnd w:id="20"/>
    <w:p>
      <w:pPr>
        <w:pStyle w:val="BodyText"/>
      </w:pPr>
      <w:r>
        <w:t xml:space="preserve">P.O. Box 12345-00100</w:t>
      </w:r>
    </w:p>
    <w:p>
      <w:pPr>
        <w:pStyle w:val="BodyText"/>
      </w:pPr>
      <w:r>
        <w:t xml:space="preserve">Nairobi, Kenya</w:t>
      </w:r>
    </w:p>
    <w:bookmarkStart w:id="21" w:name="quotation-estimate"/>
    <w:p>
      <w:pPr>
        <w:pStyle w:val="Heading2"/>
      </w:pPr>
      <w:r>
        <w:t xml:space="preserve">QUOTATION ESTIMATE</w:t>
      </w:r>
    </w:p>
    <w:p>
      <w:pPr>
        <w:pStyle w:val="FirstParagraph"/>
      </w:pPr>
      <w:r>
        <w:t xml:space="preserve">Chemist &amp; Pharmaceutical Supply Services — Kenya Nairobi</w:t>
      </w:r>
    </w:p>
    <w:bookmarkEnd w:id="21"/>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Kenyan Shillings (KES)</w:t>
            </w:r>
          </w:p>
        </w:tc>
      </w:tr>
      <w:tr>
        <w:tc>
          <w:tcPr/>
          <w:p>
            <w:pPr>
              <w:pStyle w:val="Compact"/>
              <w:jc w:val="left"/>
            </w:pPr>
            <w:r>
              <w:t xml:space="preserve">Prepared For</w:t>
            </w:r>
          </w:p>
        </w:tc>
        <w:tc>
          <w:tcPr>
            <w:gridSpan w:val="3"/>
          </w:tcPr>
          <w:p>
            <w:pPr>
              <w:pStyle w:val="Compact"/>
              <w:jc w:val="left"/>
            </w:pPr>
            <w:r>
              <w:rPr>
                <w:bCs/>
                <w:b/>
              </w:rPr>
              <w:t xml:space="preserve">St. Mary's Community Health Centre</w:t>
            </w:r>
            <w:r>
              <w:br/>
            </w:r>
            <w:r>
              <w:t xml:space="preserve">Attention: Dr. Wanjiku Mwangi, Procurement Officer</w:t>
            </w:r>
            <w:r>
              <w:br/>
            </w:r>
            <w:r>
              <w:t xml:space="preserve">12 Argwings Kodhek Road, Kilimani, Nairobi, Kenya</w:t>
            </w:r>
            <w:r>
              <w:br/>
            </w:r>
            <w:r>
              <w:t xml:space="preserve">Tel: +254 733 987 654 | Email: procurement@stmaryschc.or.ke</w:t>
            </w:r>
          </w:p>
        </w:tc>
      </w:tr>
      <w:tr>
        <w:tc>
          <w:tcPr/>
          <w:p>
            <w:pPr>
              <w:pStyle w:val="Compact"/>
              <w:jc w:val="left"/>
            </w:pPr>
            <w:r>
              <w:t xml:space="preserve">Prepared By</w:t>
            </w:r>
          </w:p>
        </w:tc>
        <w:tc>
          <w:tcPr>
            <w:gridSpan w:val="3"/>
          </w:tcPr>
          <w:p>
            <w:pPr>
              <w:pStyle w:val="Compact"/>
              <w:jc w:val="left"/>
            </w:pPr>
            <w:r>
              <w:rPr>
                <w:bCs/>
                <w:b/>
              </w:rPr>
              <w:t xml:space="preserve">Pharm. David Ochieng</w:t>
            </w:r>
            <w:r>
              <w:t xml:space="preserve"> </w:t>
            </w:r>
            <w:r>
              <w:t xml:space="preserve">— Chief Pharmacist, GreenLeaf Chemist &amp; Pharmacy Ltd.</w:t>
            </w:r>
            <w:r>
              <w:br/>
            </w:r>
            <w:r>
              <w:t xml:space="preserve">Nairobi, Kenya</w:t>
            </w:r>
          </w:p>
        </w:tc>
      </w:tr>
    </w:tbl>
    <w:p>
      <w:pPr>
        <w:pStyle w:val="BodyText"/>
      </w:pPr>
      <w:r>
        <w:t xml:space="preserve">1. SCOPE OF QUOTATION ESTIMATE</w:t>
      </w:r>
    </w:p>
    <w:p>
      <w:pPr>
        <w:pStyle w:val="BodyText"/>
      </w:pPr>
      <w:r>
        <w:t xml:space="preserve">This</w:t>
      </w:r>
      <w:r>
        <w:t xml:space="preserve"> </w:t>
      </w:r>
      <w:r>
        <w:t xml:space="preserve">Quotation Estimate</w:t>
      </w:r>
      <w:r>
        <w:t xml:space="preserve"> </w:t>
      </w:r>
      <w:r>
        <w:t xml:space="preserve">is issued by GreenLeaf Chemist &amp; Pharmacy Ltd., a fully licensed</w:t>
      </w:r>
      <w:r>
        <w:t xml:space="preserve"> </w:t>
      </w:r>
      <w:r>
        <w:t xml:space="preserve">Chemist</w:t>
      </w:r>
      <w:r>
        <w:t xml:space="preserve"> </w:t>
      </w:r>
      <w:r>
        <w:t xml:space="preserve">and pharmaceutical supply company operating in</w:t>
      </w:r>
      <w:r>
        <w:t xml:space="preserve"> </w:t>
      </w:r>
      <w:r>
        <w:t xml:space="preserve">Kenya Nairobi</w:t>
      </w:r>
      <w:r>
        <w:t xml:space="preserve">, in response to the request for a comprehensive supply of pharmaceutical products, medical consumables, and professional dispensing services for the period of twelve (12) months commencing 1 August 2025. This</w:t>
      </w:r>
      <w:r>
        <w:t xml:space="preserve"> </w:t>
      </w:r>
      <w:r>
        <w:t xml:space="preserve">Quotation Estimate</w:t>
      </w:r>
      <w:r>
        <w:t xml:space="preserve"> </w:t>
      </w:r>
      <w:r>
        <w:t xml:space="preserve">covers all items listed below at the prevailing market rates within</w:t>
      </w:r>
      <w:r>
        <w:t xml:space="preserve"> </w:t>
      </w:r>
      <w:r>
        <w:t xml:space="preserve">Kenya Nairobi</w:t>
      </w:r>
      <w:r>
        <w:t xml:space="preserve"> </w:t>
      </w:r>
      <w:r>
        <w:t xml:space="preserve">and includes delivery to the client's premises located in Kilimani, Nairobi. All products supplied by this</w:t>
      </w:r>
      <w:r>
        <w:t xml:space="preserve"> </w:t>
      </w:r>
      <w:r>
        <w:t xml:space="preserve">Chemist</w:t>
      </w:r>
      <w:r>
        <w:t xml:space="preserve"> </w:t>
      </w:r>
      <w:r>
        <w:t xml:space="preserve">facility are sourced from approved manufacturers and distributors registered with the Pharmacy and Poisons Board (PPB) of Kenya.</w:t>
      </w:r>
    </w:p>
    <w:p>
      <w:pPr>
        <w:pStyle w:val="BodyText"/>
      </w:pPr>
      <w:r>
        <w:t xml:space="preserve">2. ITEMIZED QUOTATION ESTIMATE — PHARMACEUTICAL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Amoxicillin 500mg Capsules (30 caps per pack) — Antibiotic supply</w:t>
            </w:r>
          </w:p>
        </w:tc>
        <w:tc>
          <w:tcPr/>
          <w:p>
            <w:pPr>
              <w:pStyle w:val="Compact"/>
              <w:jc w:val="left"/>
            </w:pPr>
            <w:r>
              <w:t xml:space="preserve">Pack</w:t>
            </w:r>
          </w:p>
        </w:tc>
        <w:tc>
          <w:tcPr/>
          <w:p>
            <w:pPr>
              <w:pStyle w:val="Compact"/>
              <w:jc w:val="left"/>
            </w:pPr>
            <w:r>
              <w:t xml:space="preserve">500</w:t>
            </w:r>
          </w:p>
        </w:tc>
        <w:tc>
          <w:tcPr/>
          <w:p>
            <w:pPr>
              <w:pStyle w:val="Compact"/>
              <w:jc w:val="left"/>
            </w:pPr>
            <w:r>
              <w:t xml:space="preserve">350.00</w:t>
            </w:r>
          </w:p>
        </w:tc>
        <w:tc>
          <w:tcPr/>
          <w:p>
            <w:pPr>
              <w:pStyle w:val="Compact"/>
              <w:jc w:val="left"/>
            </w:pPr>
            <w:r>
              <w:t xml:space="preserve">175,000.00</w:t>
            </w:r>
          </w:p>
        </w:tc>
      </w:tr>
      <w:tr>
        <w:tc>
          <w:tcPr/>
          <w:p>
            <w:pPr>
              <w:pStyle w:val="Compact"/>
              <w:jc w:val="left"/>
            </w:pPr>
            <w:r>
              <w:t xml:space="preserve">2</w:t>
            </w:r>
          </w:p>
        </w:tc>
        <w:tc>
          <w:tcPr/>
          <w:p>
            <w:pPr>
              <w:pStyle w:val="Compact"/>
              <w:jc w:val="left"/>
            </w:pPr>
            <w:r>
              <w:t xml:space="preserve">Paracetamol 500mg Tablets (20 tabs per strip)</w:t>
            </w:r>
          </w:p>
        </w:tc>
        <w:tc>
          <w:tcPr/>
          <w:p>
            <w:pPr>
              <w:pStyle w:val="Compact"/>
              <w:jc w:val="left"/>
            </w:pPr>
            <w:r>
              <w:t xml:space="preserve">Strip</w:t>
            </w:r>
          </w:p>
        </w:tc>
        <w:tc>
          <w:tcPr/>
          <w:p>
            <w:pPr>
              <w:pStyle w:val="Compact"/>
              <w:jc w:val="left"/>
            </w:pPr>
            <w:r>
              <w:t xml:space="preserve">2,000</w:t>
            </w:r>
          </w:p>
        </w:tc>
        <w:tc>
          <w:tcPr/>
          <w:p>
            <w:pPr>
              <w:pStyle w:val="Compact"/>
              <w:jc w:val="left"/>
            </w:pPr>
            <w:r>
              <w:t xml:space="preserve">85.00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Artemether/Lumefantrine 20/120mg Tablets (6 tabs per blister) — Antimalarial</w:t>
            </w:r>
          </w:p>
        </w:tc>
        <w:tc>
          <w:tcPr/>
          <w:p>
            <w:pPr>
              <w:pStyle w:val="Compact"/>
              <w:jc w:val="left"/>
            </w:pPr>
            <w:r>
              <w:t xml:space="preserve">Blister</w:t>
            </w:r>
          </w:p>
        </w:tc>
        <w:tc>
          <w:tcPr/>
          <w:p>
            <w:pPr>
              <w:pStyle w:val="Compact"/>
              <w:jc w:val="left"/>
            </w:pPr>
            <w:r>
              <w:t xml:space="preserve">1,000</w:t>
            </w:r>
          </w:p>
        </w:tc>
        <w:tc>
          <w:tcPr/>
          <w:p>
            <w:pPr>
              <w:pStyle w:val="Compact"/>
              <w:jc w:val="left"/>
            </w:pPr>
            <w:r>
              <w:t xml:space="preserve">420.00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Oral Rehydration Salts (ORS) 20.5g Sachets</w:t>
            </w:r>
          </w:p>
        </w:tc>
        <w:tc>
          <w:tcPr/>
          <w:p>
            <w:pPr>
              <w:pStyle w:val="Compact"/>
              <w:jc w:val="left"/>
            </w:pPr>
            <w:r>
              <w:t xml:space="preserve">Sachet</w:t>
            </w:r>
          </w:p>
        </w:tc>
        <w:tc>
          <w:tcPr/>
          <w:p>
            <w:pPr>
              <w:pStyle w:val="Compact"/>
              <w:jc w:val="left"/>
            </w:pPr>
            <w:r>
              <w:t xml:space="preserve">3,000</w:t>
            </w:r>
          </w:p>
        </w:tc>
        <w:tc>
          <w:tcPr/>
          <w:p>
            <w:pPr>
              <w:pStyle w:val="Compact"/>
              <w:jc w:val="left"/>
            </w:pPr>
            <w:r>
              <w:t xml:space="preserve">45.00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Ibuprofen 400mg Tablets (20 tabs per strip)</w:t>
            </w:r>
          </w:p>
        </w:tc>
        <w:tc>
          <w:tcPr/>
          <w:p>
            <w:pPr>
              <w:pStyle w:val="Compact"/>
              <w:jc w:val="left"/>
            </w:pPr>
            <w:r>
              <w:t xml:space="preserve">Strip</w:t>
            </w:r>
          </w:p>
        </w:tc>
        <w:tc>
          <w:tcPr/>
          <w:p>
            <w:pPr>
              <w:pStyle w:val="Compact"/>
              <w:jc w:val="left"/>
            </w:pPr>
            <w:r>
              <w:t xml:space="preserve">1,500</w:t>
            </w:r>
          </w:p>
        </w:tc>
        <w:tc>
          <w:tcPr/>
          <w:p>
            <w:pPr>
              <w:pStyle w:val="Compact"/>
              <w:jc w:val="left"/>
            </w:pPr>
            <w:r>
              <w:t xml:space="preserve">120.00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Metformin 500mg Tablets (30 tabs per pack)</w:t>
            </w:r>
          </w:p>
        </w:tc>
        <w:tc>
          <w:tcPr/>
          <w:p>
            <w:pPr>
              <w:pStyle w:val="Compact"/>
              <w:jc w:val="left"/>
            </w:pPr>
            <w:r>
              <w:t xml:space="preserve">Pack</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112,000.00</w:t>
            </w:r>
          </w:p>
        </w:tc>
      </w:tr>
      <w:tr>
        <w:tc>
          <w:tcPr/>
          <w:p>
            <w:pPr>
              <w:pStyle w:val="Compact"/>
              <w:jc w:val="left"/>
            </w:pPr>
            <w:r>
              <w:t xml:space="preserve">7</w:t>
            </w:r>
          </w:p>
        </w:tc>
        <w:tc>
          <w:tcPr/>
          <w:p>
            <w:pPr>
              <w:pStyle w:val="Compact"/>
              <w:jc w:val="left"/>
            </w:pPr>
            <w:r>
              <w:t xml:space="preserve">Insulin Glargine 100IU/ml Prefilled Syringe (10ml)</w:t>
            </w:r>
          </w:p>
        </w:tc>
        <w:tc>
          <w:tcPr/>
          <w:p>
            <w:pPr>
              <w:pStyle w:val="Compact"/>
              <w:jc w:val="left"/>
            </w:pPr>
            <w:r>
              <w:t xml:space="preserve">Syringe</w:t>
            </w:r>
          </w:p>
        </w:tc>
        <w:tc>
          <w:tcPr/>
          <w:p>
            <w:pPr>
              <w:pStyle w:val="Compact"/>
              <w:jc w:val="left"/>
            </w:pPr>
            <w:r>
              <w:t xml:space="preserve">200</w:t>
            </w:r>
          </w:p>
        </w:tc>
        <w:tc>
          <w:tcPr/>
          <w:p>
            <w:pPr>
              <w:pStyle w:val="Compact"/>
              <w:jc w:val="left"/>
            </w:pPr>
            <w:r>
              <w:t xml:space="preserve">2,850.00</w:t>
            </w:r>
          </w:p>
        </w:tc>
        <w:tc>
          <w:tcPr/>
          <w:p>
            <w:pPr>
              <w:pStyle w:val="Compact"/>
              <w:jc w:val="left"/>
            </w:pPr>
            <w:r>
              <w:t xml:space="preserve">570,000.00</w:t>
            </w:r>
          </w:p>
        </w:tc>
      </w:tr>
      <w:tr>
        <w:tc>
          <w:tcPr/>
          <w:p>
            <w:pPr>
              <w:pStyle w:val="Compact"/>
              <w:jc w:val="left"/>
            </w:pPr>
            <w:r>
              <w:t xml:space="preserve">8</w:t>
            </w:r>
          </w:p>
        </w:tc>
        <w:tc>
          <w:tcPr/>
          <w:p>
            <w:pPr>
              <w:pStyle w:val="Compact"/>
              <w:jc w:val="left"/>
            </w:pPr>
            <w:r>
              <w:t xml:space="preserve">Antiseptic Solution (Chlorhexidine 0.5%) 500ml Bottles</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380.00</w:t>
            </w:r>
          </w:p>
        </w:tc>
        <w:tc>
          <w:tcPr/>
          <w:p>
            <w:pPr>
              <w:pStyle w:val="Compact"/>
              <w:jc w:val="left"/>
            </w:pPr>
            <w:r>
              <w:t xml:space="preserve">114,000.00</w:t>
            </w:r>
          </w:p>
        </w:tc>
      </w:tr>
      <w:tr>
        <w:tc>
          <w:tcPr/>
          <w:p>
            <w:pPr>
              <w:pStyle w:val="Compact"/>
              <w:jc w:val="left"/>
            </w:pPr>
            <w:r>
              <w:t xml:space="preserve">9</w:t>
            </w:r>
          </w:p>
        </w:tc>
        <w:tc>
          <w:tcPr/>
          <w:p>
            <w:pPr>
              <w:pStyle w:val="Compact"/>
              <w:jc w:val="left"/>
            </w:pPr>
            <w:r>
              <w:t xml:space="preserve">Sterile Gauze Swabs (100 per pack)</w:t>
            </w:r>
          </w:p>
        </w:tc>
        <w:tc>
          <w:tcPr/>
          <w:p>
            <w:pPr>
              <w:pStyle w:val="Compact"/>
              <w:jc w:val="left"/>
            </w:pPr>
            <w:r>
              <w:t xml:space="preserve">Pack</w:t>
            </w:r>
          </w:p>
        </w:tc>
        <w:tc>
          <w:tcPr/>
          <w:p>
            <w:pPr>
              <w:pStyle w:val="Compact"/>
              <w:jc w:val="left"/>
            </w:pPr>
            <w:r>
              <w:t xml:space="preserve">500</w:t>
            </w:r>
          </w:p>
        </w:tc>
        <w:tc>
          <w:tcPr/>
          <w:p>
            <w:pPr>
              <w:pStyle w:val="Compact"/>
              <w:jc w:val="left"/>
            </w:pPr>
            <w:r>
              <w:t xml:space="preserve">150.00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Nitrile Examination Gloves (Box of 100)</w:t>
            </w:r>
          </w:p>
        </w:tc>
        <w:tc>
          <w:tcPr/>
          <w:p>
            <w:pPr>
              <w:pStyle w:val="Compact"/>
              <w:jc w:val="left"/>
            </w:pPr>
            <w:r>
              <w:t xml:space="preserve">Box</w:t>
            </w:r>
          </w:p>
        </w:tc>
        <w:tc>
          <w:tcPr/>
          <w:p>
            <w:pPr>
              <w:pStyle w:val="Compact"/>
              <w:jc w:val="left"/>
            </w:pPr>
            <w:r>
              <w:t xml:space="preserve">200</w:t>
            </w:r>
          </w:p>
        </w:tc>
        <w:tc>
          <w:tcPr/>
          <w:p>
            <w:pPr>
              <w:pStyle w:val="Compact"/>
              <w:jc w:val="left"/>
            </w:pPr>
            <w:r>
              <w:t xml:space="preserve">650.00</w:t>
            </w:r>
          </w:p>
        </w:tc>
        <w:tc>
          <w:tcPr/>
          <w:p>
            <w:pPr>
              <w:pStyle w:val="Compact"/>
              <w:jc w:val="left"/>
            </w:pPr>
            <w:r>
              <w:t xml:space="preserve">130,000.00</w:t>
            </w:r>
          </w:p>
        </w:tc>
      </w:tr>
    </w:tbl>
    <w:p>
      <w:pPr>
        <w:pStyle w:val="BodyText"/>
      </w:pPr>
      <w:r>
        <w:t xml:space="preserve">3. PROFESSIONAL CHEMIST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11</w:t>
            </w:r>
          </w:p>
        </w:tc>
        <w:tc>
          <w:tcPr/>
          <w:p>
            <w:pPr>
              <w:pStyle w:val="Compact"/>
              <w:jc w:val="left"/>
            </w:pPr>
            <w:r>
              <w:t xml:space="preserve">Monthly Pharmacist Consultation &amp; Inventory Management (on-site at Nairobi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12</w:t>
            </w:r>
          </w:p>
        </w:tc>
        <w:tc>
          <w:tcPr/>
          <w:p>
            <w:pPr>
              <w:pStyle w:val="Compact"/>
              <w:jc w:val="left"/>
            </w:pPr>
            <w:r>
              <w:t xml:space="preserve">Emergency Drug Delivery Service within Nairobi City Limits (24/7)</w:t>
            </w:r>
          </w:p>
        </w:tc>
        <w:tc>
          <w:tcPr/>
          <w:p>
            <w:pPr>
              <w:pStyle w:val="Compact"/>
              <w:jc w:val="left"/>
            </w:pPr>
            <w:r>
              <w:t xml:space="preserve">Call-out</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13</w:t>
            </w:r>
          </w:p>
        </w:tc>
        <w:tc>
          <w:tcPr/>
          <w:p>
            <w:pPr>
              <w:pStyle w:val="Compact"/>
              <w:jc w:val="left"/>
            </w:pPr>
            <w:r>
              <w:t xml:space="preserve">Pharmaceutical Waste Disposal &amp; Compliance Reporting (PPB Kenya)</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14</w:t>
            </w:r>
          </w:p>
        </w:tc>
        <w:tc>
          <w:tcPr/>
          <w:p>
            <w:pPr>
              <w:pStyle w:val="Compact"/>
              <w:jc w:val="left"/>
            </w:pPr>
            <w:r>
              <w:t xml:space="preserve">Staff Training on Safe Drug Handling &amp; Storage (2-day workshop, Nairobi)</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left"/>
            </w:pPr>
            <w:r>
              <w:t xml:space="preserve">1,981,000.00</w:t>
            </w:r>
          </w:p>
        </w:tc>
      </w:tr>
      <w:tr>
        <w:tc>
          <w:tcPr/>
          <w:p>
            <w:pPr>
              <w:pStyle w:val="Compact"/>
              <w:jc w:val="left"/>
            </w:pPr>
            <w:r>
              <w:t xml:space="preserve">Subtotal (Services 11–14):</w:t>
            </w:r>
          </w:p>
        </w:tc>
        <w:tc>
          <w:tcPr/>
          <w:p>
            <w:pPr>
              <w:pStyle w:val="Compact"/>
              <w:jc w:val="left"/>
            </w:pPr>
            <w:r>
              <w:t xml:space="preserve">766,000.00</w:t>
            </w:r>
          </w:p>
        </w:tc>
      </w:tr>
      <w:tr>
        <w:tc>
          <w:tcPr/>
          <w:p>
            <w:pPr>
              <w:pStyle w:val="Compact"/>
              <w:jc w:val="left"/>
            </w:pPr>
            <w:r>
              <w:t xml:space="preserve">VAT @ 16% (Kenya):</w:t>
            </w:r>
          </w:p>
        </w:tc>
        <w:tc>
          <w:tcPr/>
          <w:p>
            <w:pPr>
              <w:pStyle w:val="Compact"/>
              <w:jc w:val="left"/>
            </w:pPr>
            <w:r>
              <w:t xml:space="preserve">447,360.00</w:t>
            </w:r>
          </w:p>
        </w:tc>
      </w:tr>
      <w:tr>
        <w:tc>
          <w:tcPr/>
          <w:p>
            <w:pPr>
              <w:pStyle w:val="Compact"/>
              <w:jc w:val="left"/>
            </w:pPr>
            <w:r>
              <w:t xml:space="preserve">GRAND TOTAL (KES):</w:t>
            </w:r>
          </w:p>
        </w:tc>
        <w:tc>
          <w:tcPr/>
          <w:p>
            <w:pPr>
              <w:pStyle w:val="Compact"/>
              <w:jc w:val="left"/>
            </w:pPr>
            <w:r>
              <w:t xml:space="preserve">3,194,360.00</w:t>
            </w:r>
          </w:p>
        </w:tc>
      </w:tr>
    </w:tbl>
    <w:p>
      <w:pPr>
        <w:pStyle w:val="BodyText"/>
      </w:pPr>
      <w:r>
        <w:t xml:space="preserve">4. TERMS AND CONDITIONS OF THIS QUOTATION ESTIMATE</w:t>
      </w:r>
    </w:p>
    <w:bookmarkStart w:id="22" w:name="X2adc3394daeb76167c7f659d439ef925a6e9207"/>
    <w:p>
      <w:pPr>
        <w:pStyle w:val="Heading3"/>
      </w:pPr>
      <w:r>
        <w:t xml:space="preserve">General Terms — GreenLeaf Chemist &amp; Pharmacy Ltd., Kenya Nairobi</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market fluctuations in the</w:t>
      </w:r>
      <w:r>
        <w:t xml:space="preserve"> </w:t>
      </w:r>
      <w:r>
        <w:t xml:space="preserve">Kenya Nairobi</w:t>
      </w:r>
      <w:r>
        <w:t xml:space="preserve"> </w:t>
      </w:r>
      <w:r>
        <w:t xml:space="preserve">pharmaceutical sector.</w:t>
      </w:r>
    </w:p>
    <w:p>
      <w:pPr>
        <w:numPr>
          <w:ilvl w:val="0"/>
          <w:numId w:val="1001"/>
        </w:numPr>
        <w:pStyle w:val="Compact"/>
      </w:pPr>
      <w:r>
        <w:t xml:space="preserve">All pharmaceutical products supplied by this</w:t>
      </w:r>
      <w:r>
        <w:t xml:space="preserve"> </w:t>
      </w:r>
      <w:r>
        <w:t xml:space="preserve">Chemist</w:t>
      </w:r>
      <w:r>
        <w:t xml:space="preserve"> </w:t>
      </w:r>
      <w:r>
        <w:t xml:space="preserve">are guaranteed to be within their expiry dates (minimum 18 months remaining) and comply with the Pharmacy and Poisons Board (PPB) regulations of Kenya.</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within fourteen (14) days of delivery. Payment shall be made via bank transfer to the account of GreenLeaf Chemist &amp; Pharmacy Ltd., Equity Bank, Nairobi Branch.</w:t>
      </w:r>
    </w:p>
    <w:p>
      <w:pPr>
        <w:numPr>
          <w:ilvl w:val="0"/>
          <w:numId w:val="1001"/>
        </w:numPr>
        <w:pStyle w:val="Compact"/>
      </w:pPr>
      <w:r>
        <w:t xml:space="preserve">Delivery within</w:t>
      </w:r>
      <w:r>
        <w:t xml:space="preserve"> </w:t>
      </w:r>
      <w:r>
        <w:t xml:space="preserve">Kenya Nairobi</w:t>
      </w:r>
      <w:r>
        <w:t xml:space="preserve"> </w:t>
      </w:r>
      <w:r>
        <w:t xml:space="preserve">city limits is included in the quoted prices. Deliveries outside Nairobi Metropolitan Area shall attract an additional transport surcharge of KES 5,000 per trip.</w:t>
      </w:r>
    </w:p>
    <w:p>
      <w:pPr>
        <w:numPr>
          <w:ilvl w:val="0"/>
          <w:numId w:val="1001"/>
        </w:numPr>
        <w:pStyle w:val="Compact"/>
      </w:pPr>
      <w:r>
        <w:t xml:space="preserve">The</w:t>
      </w:r>
      <w:r>
        <w:t xml:space="preserve"> </w:t>
      </w:r>
      <w:r>
        <w:t xml:space="preserve">Chemist</w:t>
      </w:r>
      <w:r>
        <w:t xml:space="preserve"> </w:t>
      </w:r>
      <w:r>
        <w:t xml:space="preserve">reserves the right to substitute any product with an equivalent therapeutic alternative of equal or higher quality should the original item be temporarily unavailable, subject to prior written approval from the client.</w:t>
      </w:r>
    </w:p>
    <w:p>
      <w:pPr>
        <w:numPr>
          <w:ilvl w:val="0"/>
          <w:numId w:val="1001"/>
        </w:numPr>
        <w:pStyle w:val="Compact"/>
      </w:pPr>
      <w:r>
        <w:t xml:space="preserve">All professional services rendered by the</w:t>
      </w:r>
      <w:r>
        <w:t xml:space="preserve"> </w:t>
      </w:r>
      <w:r>
        <w:t xml:space="preserve">Chemist</w:t>
      </w:r>
      <w:r>
        <w:t xml:space="preserve"> </w:t>
      </w:r>
      <w:r>
        <w:t xml:space="preserve">team are subject to the Code of Ethics of the Pharmacy and Poisons Board of Kenya. Confidentiality of patient and institutional data is strictly maintained.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Service Level Agreement (SLA) will be executed.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arbitration in Nairobi, Kenya, in accordance with the Arbitration Act, Cap 15 of the Laws of Kenya.</w:t>
      </w:r>
    </w:p>
    <w:p>
      <w:pPr>
        <w:numPr>
          <w:ilvl w:val="0"/>
          <w:numId w:val="1001"/>
        </w:numPr>
        <w:pStyle w:val="Compact"/>
      </w:pPr>
      <w:r>
        <w:t xml:space="preserve">GreenLeaf Chemist &amp; Pharmacy Ltd. holds a valid Pharmacy Licence (No. PHC/2024/00873) issued by the Pharmacy and Poisons Board, Kenya, and operates in full compliance with all national and local regulations in</w:t>
      </w:r>
      <w:r>
        <w:t xml:space="preserve"> </w:t>
      </w:r>
      <w:r>
        <w:t xml:space="preserve">Kenya Nairobi</w:t>
      </w:r>
      <w:r>
        <w:t xml:space="preserve">.</w:t>
      </w:r>
    </w:p>
    <w:bookmarkEnd w:id="22"/>
    <w:p>
      <w:pPr>
        <w:pStyle w:val="FirstParagraph"/>
      </w:pPr>
      <w:r>
        <w:t xml:space="preserve">For and on behalf of GreenLeaf Chemist &amp; Pharmacy Ltd.</w:t>
      </w:r>
    </w:p>
    <w:p>
      <w:pPr>
        <w:pStyle w:val="BodyText"/>
      </w:pPr>
      <w:r>
        <w:rPr>
          <w:bCs/>
          <w:b/>
        </w:rPr>
        <w:t xml:space="preserve">Pharm. David Ochieng</w:t>
      </w:r>
      <w:r>
        <w:br/>
      </w:r>
      <w:r>
        <w:t xml:space="preserve">Chief Pharmacist / Authorised Signatory</w:t>
      </w:r>
      <w:r>
        <w:br/>
      </w:r>
      <w:r>
        <w:t xml:space="preserve">Date: ______________________</w:t>
      </w:r>
    </w:p>
    <w:p>
      <w:pPr>
        <w:pStyle w:val="BodyText"/>
      </w:pPr>
      <w:r>
        <w:t xml:space="preserve">Accepted by the Client</w:t>
      </w:r>
    </w:p>
    <w:p>
      <w:pPr>
        <w:pStyle w:val="BodyText"/>
      </w:pPr>
      <w:r>
        <w:rPr>
          <w:bCs/>
          <w:b/>
        </w:rPr>
        <w:t xml:space="preserve">Dr. Wanjiku Mwangi</w:t>
      </w:r>
      <w:r>
        <w:br/>
      </w:r>
      <w:r>
        <w:t xml:space="preserve">Procurement Officer, St. Mary's Community Health Centre</w:t>
      </w:r>
      <w:r>
        <w:br/>
      </w:r>
      <w:r>
        <w:t xml:space="preserve">Date: ______________________</w:t>
      </w:r>
    </w:p>
    <w:p>
      <w:pPr>
        <w:pStyle w:val="BodyText"/>
      </w:pPr>
      <w:r>
        <w:t xml:space="preserve">GreenLeaf Chemist &amp; Pharmacy Ltd. — A licensed Chemist and Pharmaceutical Supply Company in Kenya Nairobi.</w:t>
      </w:r>
      <w:r>
        <w:br/>
      </w:r>
      <w:r>
        <w:t xml:space="preserve">This Quotation Estimate document is generated electronically and is valid without a physical stamp. Licence No: PHC/2024/00873 | PRA: 12345678901234</w:t>
      </w:r>
      <w:r>
        <w:br/>
      </w:r>
      <w:r>
        <w:t xml:space="preserve">© 2025 GreenLeaf Chemist &amp; Pharmacy Ltd. All rights reserved.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Kenya Nairobi</dc:title>
  <dc:creator/>
  <dc:language>en</dc:language>
  <cp:keywords/>
  <dcterms:created xsi:type="dcterms:W3CDTF">2026-10-10T03:28:53Z</dcterms:created>
  <dcterms:modified xsi:type="dcterms:W3CDTF">2026-10-10T03:28:53Z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