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Xac104e4ad5ab3a60bda344b88bca4d8eae93263"/>
    <w:p>
      <w:pPr>
        <w:pStyle w:val="Heading1"/>
      </w:pPr>
      <w:r>
        <w:t xml:space="preserve">Pharmacie du Maârif – Chemist &amp; Pharmaceutical Services</w:t>
      </w:r>
    </w:p>
    <w:p>
      <w:pPr>
        <w:pStyle w:val="FirstParagraph"/>
      </w:pPr>
      <w:r>
        <w:t xml:space="preserve">12, Boulevard Mohammed V, Quartier Maârif, Casablanca 20250, Morocco</w:t>
      </w:r>
    </w:p>
    <w:p>
      <w:pPr>
        <w:pStyle w:val="BodyText"/>
      </w:pPr>
      <w:r>
        <w:t xml:space="preserve">Tel: +212 522-345-678 | Email: contact@pharmacie-maarif.ma</w:t>
      </w:r>
    </w:p>
    <w:p>
      <w:pPr>
        <w:pStyle w:val="BodyText"/>
      </w:pPr>
      <w:r>
        <w:t xml:space="preserve">RC: 456789 Casablanca | IF: 40567890 | ICE: 002345678000091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QE-2025-CAS-00847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Youssef El Amrani, Licensed Chemist</w:t>
      </w:r>
    </w:p>
    <w:p>
      <w:pPr>
        <w:pStyle w:val="BodyText"/>
      </w:pPr>
      <w:r>
        <w:rPr>
          <w:bCs/>
          <w:b/>
        </w:rPr>
        <w:t xml:space="preserve">Reference:</w:t>
      </w:r>
      <w:r>
        <w:t xml:space="preserve"> </w:t>
      </w:r>
      <w:r>
        <w:t xml:space="preserve">Annual Supply &amp; Consultation Contract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Clinique Al Andalous</w:t>
      </w:r>
    </w:p>
    <w:p>
      <w:pPr>
        <w:pStyle w:val="BodyText"/>
      </w:pPr>
      <w:r>
        <w:rPr>
          <w:bCs/>
          <w:b/>
        </w:rPr>
        <w:t xml:space="preserve">Address:</w:t>
      </w:r>
      <w:r>
        <w:t xml:space="preserve"> </w:t>
      </w:r>
      <w:r>
        <w:t xml:space="preserve">45, Avenue Hassan II, Casablanca 20000, Morocco</w:t>
      </w:r>
    </w:p>
    <w:p>
      <w:pPr>
        <w:pStyle w:val="BodyText"/>
      </w:pPr>
      <w:r>
        <w:rPr>
          <w:bCs/>
          <w:b/>
        </w:rPr>
        <w:t xml:space="preserve">Contact Person:</w:t>
      </w:r>
      <w:r>
        <w:t xml:space="preserve"> </w:t>
      </w:r>
      <w:r>
        <w:t xml:space="preserve">Dr. Fatima Zahra Benali</w:t>
      </w:r>
    </w:p>
    <w:p>
      <w:pPr>
        <w:pStyle w:val="BodyText"/>
      </w:pPr>
      <w:r>
        <w:rPr>
          <w:bCs/>
          <w:b/>
        </w:rPr>
        <w:t xml:space="preserve">Tel:</w:t>
      </w:r>
      <w:r>
        <w:t xml:space="preserve"> </w:t>
      </w:r>
      <w:r>
        <w:t xml:space="preserve">+212 522-987-654</w:t>
      </w:r>
    </w:p>
    <w:p>
      <w:pPr>
        <w:pStyle w:val="BodyText"/>
      </w:pPr>
      <w:r>
        <w:rPr>
          <w:bCs/>
          <w:b/>
        </w:rPr>
        <w:t xml:space="preserve">Email:</w:t>
      </w:r>
      <w:r>
        <w:t xml:space="preserve"> </w:t>
      </w:r>
      <w:r>
        <w:t xml:space="preserve">info@clinique-alandalous.ma</w:t>
      </w:r>
    </w:p>
    <w:bookmarkEnd w:id="22"/>
    <w:p>
      <w:pPr>
        <w:pStyle w:val="BodyText"/>
      </w:pPr>
      <w:r>
        <w:t xml:space="preserve">Dear Dr. Benali,</w:t>
      </w:r>
    </w:p>
    <w:p>
      <w:pPr>
        <w:pStyle w:val="BodyText"/>
      </w:pPr>
      <w:r>
        <w:t xml:space="preserve">Thank you for your request for a</w:t>
      </w:r>
      <w:r>
        <w:t xml:space="preserve"> </w:t>
      </w:r>
      <w:r>
        <w:rPr>
          <w:bCs/>
          <w:b/>
        </w:rPr>
        <w:t xml:space="preserve">Quotation Estimate</w:t>
      </w:r>
      <w:r>
        <w:t xml:space="preserve"> </w:t>
      </w:r>
      <w:r>
        <w:t xml:space="preserve">regarding the supply of pharmaceutical products, compounded preparations, and professional chemist consultation services to be provided by our licensed pharmacy in</w:t>
      </w:r>
      <w:r>
        <w:t xml:space="preserve"> </w:t>
      </w:r>
      <w:r>
        <w:rPr>
          <w:bCs/>
          <w:b/>
        </w:rPr>
        <w:t xml:space="preserve">Morocco Casablanca</w:t>
      </w:r>
      <w:r>
        <w:t xml:space="preserve">. This document outlines the complete scope of work, itemized pricing, and applicable terms for the proposed engagement. All prices are quoted in Moroccan Dirhams (MAD) and include applicable Value Added Tax (VAT) at the standard rate of 20% as mandated by the Moroccan tax authority (Direction Générale des Impôts).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Chemist Services / Products</w:t>
            </w:r>
          </w:p>
        </w:tc>
        <w:tc>
          <w:tcPr/>
          <w:p>
            <w:pPr>
              <w:pStyle w:val="Compact"/>
              <w:jc w:val="left"/>
            </w:pPr>
            <w:r>
              <w:t xml:space="preserve">Quantity</w:t>
            </w:r>
          </w:p>
        </w:tc>
        <w:tc>
          <w:tcPr/>
          <w:p>
            <w:pPr>
              <w:pStyle w:val="Compact"/>
              <w:jc w:val="left"/>
            </w:pPr>
            <w:r>
              <w:t xml:space="preserve">Unit (MAD)</w:t>
            </w:r>
          </w:p>
        </w:tc>
        <w:tc>
          <w:tcPr/>
          <w:p>
            <w:pPr>
              <w:pStyle w:val="Compact"/>
              <w:jc w:val="left"/>
            </w:pPr>
            <w:r>
              <w:t xml:space="preserve">Amount (MAD)</w:t>
            </w:r>
          </w:p>
        </w:tc>
        <w:tc>
          <w:tcPr/>
          <w:p>
            <w:pPr>
              <w:pStyle w:val="Compact"/>
              <w:jc w:val="left"/>
            </w:pPr>
            <w:r>
              <w:t xml:space="preserve">VAT 20%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Monthly supply of essential pharmaceutical products (antibiotics, analgesics, antihistamines, cardiovascular medications) as per the approved formulary list for Clinique Al Andalous</w:t>
            </w:r>
          </w:p>
        </w:tc>
        <w:tc>
          <w:tcPr/>
          <w:p>
            <w:pPr>
              <w:pStyle w:val="Compact"/>
              <w:jc w:val="left"/>
            </w:pPr>
            <w:r>
              <w:t xml:space="preserve">12 months</w:t>
            </w:r>
          </w:p>
        </w:tc>
        <w:tc>
          <w:tcPr/>
          <w:p>
            <w:pPr>
              <w:pStyle w:val="Compact"/>
              <w:jc w:val="left"/>
            </w:pPr>
            <w:r>
              <w:t xml:space="preserve">48,500.00</w:t>
            </w:r>
          </w:p>
        </w:tc>
        <w:tc>
          <w:tcPr/>
          <w:p>
            <w:pPr>
              <w:pStyle w:val="Compact"/>
              <w:jc w:val="left"/>
            </w:pPr>
            <w:r>
              <w:t xml:space="preserve">582,000.00</w:t>
            </w:r>
          </w:p>
        </w:tc>
        <w:tc>
          <w:tcPr/>
          <w:p>
            <w:pPr>
              <w:pStyle w:val="Compact"/>
              <w:jc w:val="left"/>
            </w:pPr>
            <w:r>
              <w:t xml:space="preserve">116,400.00</w:t>
            </w:r>
          </w:p>
        </w:tc>
        <w:tc>
          <w:tcPr/>
          <w:p>
            <w:pPr>
              <w:pStyle w:val="Compact"/>
              <w:jc w:val="left"/>
            </w:pPr>
            <w:r>
              <w:t xml:space="preserve">698,400.00</w:t>
            </w:r>
          </w:p>
        </w:tc>
      </w:tr>
      <w:tr>
        <w:tc>
          <w:tcPr/>
          <w:p>
            <w:pPr>
              <w:pStyle w:val="Compact"/>
              <w:jc w:val="left"/>
            </w:pPr>
            <w:r>
              <w:t xml:space="preserve">02</w:t>
            </w:r>
          </w:p>
        </w:tc>
        <w:tc>
          <w:tcPr/>
          <w:p>
            <w:pPr>
              <w:pStyle w:val="Compact"/>
              <w:jc w:val="left"/>
            </w:pPr>
            <w:r>
              <w:t xml:space="preserve">Compounded pharmaceutical preparations (custom-formulated creams, ointments, and liquid suspensions) prepared by our resident chemist in compliance with Moroccan pharmacopoeia standards</w:t>
            </w:r>
          </w:p>
        </w:tc>
        <w:tc>
          <w:tcPr/>
          <w:p>
            <w:pPr>
              <w:pStyle w:val="Compact"/>
              <w:jc w:val="left"/>
            </w:pPr>
            <w:r>
              <w:t xml:space="preserve">200 units/yr</w:t>
            </w:r>
          </w:p>
        </w:tc>
        <w:tc>
          <w:tcPr/>
          <w:p>
            <w:pPr>
              <w:pStyle w:val="Compact"/>
              <w:jc w:val="left"/>
            </w:pPr>
            <w:r>
              <w:t xml:space="preserve">350.00</w:t>
            </w:r>
          </w:p>
        </w:tc>
        <w:tc>
          <w:tcPr/>
          <w:p>
            <w:pPr>
              <w:pStyle w:val="Compact"/>
              <w:jc w:val="left"/>
            </w:pPr>
            <w:r>
              <w:t xml:space="preserve">70,000.00</w:t>
            </w:r>
          </w:p>
        </w:tc>
        <w:tc>
          <w:tcPr/>
          <w:p>
            <w:pPr>
              <w:pStyle w:val="Compact"/>
              <w:jc w:val="left"/>
            </w:pPr>
            <w:r>
              <w:t xml:space="preserve">14,000.00</w:t>
            </w:r>
          </w:p>
        </w:tc>
        <w:tc>
          <w:tcPr/>
          <w:p>
            <w:pPr>
              <w:pStyle w:val="Compact"/>
              <w:jc w:val="left"/>
            </w:pPr>
            <w:r>
              <w:t xml:space="preserve">84,000.00</w:t>
            </w:r>
          </w:p>
        </w:tc>
      </w:tr>
      <w:tr>
        <w:tc>
          <w:tcPr/>
          <w:p>
            <w:pPr>
              <w:pStyle w:val="Compact"/>
              <w:jc w:val="left"/>
            </w:pPr>
            <w:r>
              <w:t xml:space="preserve">03</w:t>
            </w:r>
          </w:p>
        </w:tc>
        <w:tc>
          <w:tcPr/>
          <w:p>
            <w:pPr>
              <w:pStyle w:val="Compact"/>
              <w:jc w:val="left"/>
            </w:pPr>
            <w:r>
              <w:t xml:space="preserve">Professional chemist consultation and clinical pharmacy advisory services (on-site visits, twice monthly, including medication review, drug interaction analysis, and patient counselling protocols)</w:t>
            </w:r>
          </w:p>
        </w:tc>
        <w:tc>
          <w:tcPr/>
          <w:p>
            <w:pPr>
              <w:pStyle w:val="Compact"/>
              <w:jc w:val="left"/>
            </w:pPr>
            <w:r>
              <w:t xml:space="preserve">24 sessions</w:t>
            </w:r>
          </w:p>
        </w:tc>
        <w:tc>
          <w:tcPr/>
          <w:p>
            <w:pPr>
              <w:pStyle w:val="Compact"/>
              <w:jc w:val="left"/>
            </w:pPr>
            <w:r>
              <w:t xml:space="preserve">1,200.00</w:t>
            </w:r>
          </w:p>
        </w:tc>
        <w:tc>
          <w:tcPr/>
          <w:p>
            <w:pPr>
              <w:pStyle w:val="Compact"/>
              <w:jc w:val="left"/>
            </w:pPr>
            <w:r>
              <w:t xml:space="preserve">28,800.00</w:t>
            </w:r>
          </w:p>
        </w:tc>
        <w:tc>
          <w:tcPr/>
          <w:p>
            <w:pPr>
              <w:pStyle w:val="Compact"/>
              <w:jc w:val="left"/>
            </w:pPr>
            <w:r>
              <w:t xml:space="preserve">5,760.00</w:t>
            </w:r>
          </w:p>
        </w:tc>
        <w:tc>
          <w:tcPr/>
          <w:p>
            <w:pPr>
              <w:pStyle w:val="Compact"/>
              <w:jc w:val="left"/>
            </w:pPr>
            <w:r>
              <w:t xml:space="preserve">34,560.00</w:t>
            </w:r>
          </w:p>
        </w:tc>
      </w:tr>
      <w:tr>
        <w:tc>
          <w:tcPr/>
          <w:p>
            <w:pPr>
              <w:pStyle w:val="Compact"/>
              <w:jc w:val="left"/>
            </w:pPr>
            <w:r>
              <w:t xml:space="preserve">04</w:t>
            </w:r>
          </w:p>
        </w:tc>
        <w:tc>
          <w:tcPr/>
          <w:p>
            <w:pPr>
              <w:pStyle w:val="Compact"/>
              <w:jc w:val="left"/>
            </w:pPr>
            <w:r>
              <w:t xml:space="preserve">Pharmaceutical inventory management and stock rotation service (monthly audit, expiry tracking, and reorder recommendations for the clinic's on-site medication store)</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c>
          <w:tcPr/>
          <w:p>
            <w:pPr>
              <w:pStyle w:val="Compact"/>
              <w:jc w:val="left"/>
            </w:pPr>
            <w:r>
              <w:t xml:space="preserve">8,400.00</w:t>
            </w:r>
          </w:p>
        </w:tc>
        <w:tc>
          <w:tcPr/>
          <w:p>
            <w:pPr>
              <w:pStyle w:val="Compact"/>
              <w:jc w:val="left"/>
            </w:pPr>
            <w:r>
              <w:t xml:space="preserve">50,400.00</w:t>
            </w:r>
          </w:p>
        </w:tc>
      </w:tr>
      <w:tr>
        <w:tc>
          <w:tcPr/>
          <w:p>
            <w:pPr>
              <w:pStyle w:val="Compact"/>
              <w:jc w:val="left"/>
            </w:pPr>
            <w:r>
              <w:t xml:space="preserve">05</w:t>
            </w:r>
          </w:p>
        </w:tc>
        <w:tc>
          <w:tcPr/>
          <w:p>
            <w:pPr>
              <w:pStyle w:val="Compact"/>
              <w:jc w:val="left"/>
            </w:pPr>
            <w:r>
              <w:t xml:space="preserve">Emergency and after-hours pharmaceutical supply delivery within the Casablanca metropolitan area (24/7 availability, delivery within 2 hours)</w:t>
            </w:r>
          </w:p>
        </w:tc>
        <w:tc>
          <w:tcPr/>
          <w:p>
            <w:pPr>
              <w:pStyle w:val="Compact"/>
              <w:jc w:val="left"/>
            </w:pPr>
            <w:r>
              <w:t xml:space="preserve">Annual</w:t>
            </w:r>
          </w:p>
        </w:tc>
        <w:tc>
          <w:tcPr/>
          <w:p>
            <w:pPr>
              <w:pStyle w:val="Compact"/>
              <w:jc w:val="left"/>
            </w:pPr>
            <w:r>
              <w:t xml:space="preserve">6,000.00</w:t>
            </w:r>
          </w:p>
        </w:tc>
        <w:tc>
          <w:tcPr/>
          <w:p>
            <w:pPr>
              <w:pStyle w:val="Compact"/>
              <w:jc w:val="left"/>
            </w:pPr>
            <w:r>
              <w:t xml:space="preserve">6,000.00</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06</w:t>
            </w:r>
          </w:p>
        </w:tc>
        <w:tc>
          <w:tcPr/>
          <w:p>
            <w:pPr>
              <w:pStyle w:val="Compact"/>
              <w:jc w:val="left"/>
            </w:pPr>
            <w:r>
              <w:t xml:space="preserve">Regulatory compliance documentation and reporting (annual submission of pharmaceutical usage reports to the Moroccan Ministry of Health, CNSS declarations, and OMP (Ordre des Pharmaciens du Maroc) filings)</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33,600.00</w:t>
            </w:r>
          </w:p>
        </w:tc>
        <w:tc>
          <w:tcPr/>
          <w:p>
            <w:pPr>
              <w:pStyle w:val="Compact"/>
              <w:jc w:val="left"/>
            </w:pPr>
            <w:r>
              <w:t xml:space="preserve">6,720.00</w:t>
            </w:r>
          </w:p>
        </w:tc>
        <w:tc>
          <w:tcPr/>
          <w:p>
            <w:pPr>
              <w:pStyle w:val="Compact"/>
              <w:jc w:val="left"/>
            </w:pPr>
            <w:r>
              <w:t xml:space="preserve">40,320.00</w:t>
            </w:r>
          </w:p>
        </w:tc>
      </w:tr>
      <w:tr>
        <w:tc>
          <w:tcPr/>
          <w:p>
            <w:pPr>
              <w:pStyle w:val="Compact"/>
              <w:jc w:val="left"/>
            </w:pPr>
            <w:r>
              <w:t xml:space="preserve">07</w:t>
            </w:r>
          </w:p>
        </w:tc>
        <w:tc>
          <w:tcPr/>
          <w:p>
            <w:pPr>
              <w:pStyle w:val="Compact"/>
              <w:jc w:val="left"/>
            </w:pPr>
            <w:r>
              <w:t xml:space="preserve">Training and continuing education sessions for clinic nursing and administrative staff on safe medication handling, storage, and patient communication (quarterly workshops)</w:t>
            </w:r>
          </w:p>
        </w:tc>
        <w:tc>
          <w:tcPr/>
          <w:p>
            <w:pPr>
              <w:pStyle w:val="Compact"/>
              <w:jc w:val="left"/>
            </w:pPr>
            <w:r>
              <w:t xml:space="preserve">4 sessions</w:t>
            </w:r>
          </w:p>
        </w:tc>
        <w:tc>
          <w:tcPr/>
          <w:p>
            <w:pPr>
              <w:pStyle w:val="Compact"/>
              <w:jc w:val="left"/>
            </w:pPr>
            <w:r>
              <w:t xml:space="preserve">4,500.00</w:t>
            </w:r>
          </w:p>
        </w:tc>
        <w:tc>
          <w:tcPr/>
          <w:p>
            <w:pPr>
              <w:pStyle w:val="Compact"/>
              <w:jc w:val="left"/>
            </w:pPr>
            <w:r>
              <w:t xml:space="preserve">18,000.00</w:t>
            </w:r>
          </w:p>
        </w:tc>
        <w:tc>
          <w:tcPr/>
          <w:p>
            <w:pPr>
              <w:pStyle w:val="Compact"/>
              <w:jc w:val="left"/>
            </w:pPr>
            <w:r>
              <w:t xml:space="preserve">3,600.00</w:t>
            </w:r>
          </w:p>
        </w:tc>
        <w:tc>
          <w:tcPr/>
          <w:p>
            <w:pPr>
              <w:pStyle w:val="Compact"/>
              <w:jc w:val="left"/>
            </w:pPr>
            <w:r>
              <w:t xml:space="preserve">21,600.00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780,400.00 MAD</w:t>
            </w:r>
          </w:p>
        </w:tc>
      </w:tr>
      <w:tr>
        <w:tc>
          <w:tcPr/>
          <w:p>
            <w:pPr>
              <w:pStyle w:val="Compact"/>
              <w:jc w:val="left"/>
            </w:pPr>
            <w:r>
              <w:t xml:space="preserve">VAT (20%)</w:t>
            </w:r>
          </w:p>
        </w:tc>
        <w:tc>
          <w:tcPr/>
          <w:p>
            <w:pPr>
              <w:pStyle w:val="Compact"/>
              <w:jc w:val="right"/>
            </w:pPr>
            <w:r>
              <w:t xml:space="preserve">156,080.00 MAD</w:t>
            </w:r>
          </w:p>
        </w:tc>
      </w:tr>
      <w:tr>
        <w:tc>
          <w:tcPr/>
          <w:p>
            <w:pPr>
              <w:pStyle w:val="Compact"/>
              <w:jc w:val="left"/>
            </w:pPr>
            <w:r>
              <w:t xml:space="preserve">Grand Total (incl. VAT)</w:t>
            </w:r>
          </w:p>
        </w:tc>
        <w:tc>
          <w:tcPr/>
          <w:p>
            <w:pPr>
              <w:pStyle w:val="Compact"/>
              <w:jc w:val="right"/>
            </w:pPr>
            <w:r>
              <w:t xml:space="preserve">936,480.00 MAD</w:t>
            </w:r>
          </w:p>
        </w:tc>
      </w:tr>
      <w:tr>
        <w:tc>
          <w:tcPr/>
          <w:p>
            <w:pPr>
              <w:pStyle w:val="Compact"/>
              <w:jc w:val="left"/>
            </w:pPr>
            <w:r>
              <w:t xml:space="preserve">Discount (5% – Annual Contract)</w:t>
            </w:r>
          </w:p>
        </w:tc>
        <w:tc>
          <w:tcPr/>
          <w:p>
            <w:pPr>
              <w:pStyle w:val="Compact"/>
              <w:jc w:val="right"/>
            </w:pPr>
            <w:r>
              <w:t xml:space="preserve">-46,824.00 MAD</w:t>
            </w:r>
          </w:p>
        </w:tc>
      </w:tr>
      <w:tr>
        <w:tc>
          <w:tcPr/>
          <w:p>
            <w:pPr>
              <w:pStyle w:val="Compact"/>
              <w:jc w:val="left"/>
            </w:pPr>
            <w:r>
              <w:t xml:space="preserve">Final Quotation Estimate Total</w:t>
            </w:r>
          </w:p>
        </w:tc>
        <w:tc>
          <w:tcPr/>
          <w:p>
            <w:pPr>
              <w:pStyle w:val="Compact"/>
              <w:jc w:val="right"/>
            </w:pPr>
            <w:r>
              <w:t xml:space="preserve">889,656.00 MAD</w:t>
            </w:r>
          </w:p>
        </w:tc>
      </w:tr>
    </w:tbl>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Beyond this period, prices may be revised to reflect changes in pharmaceutical import costs, exchange rate fluctuations, or regulatory adjustments in</w:t>
      </w:r>
      <w:r>
        <w:t xml:space="preserve"> </w:t>
      </w:r>
      <w:r>
        <w:rPr>
          <w:bCs/>
          <w:b/>
        </w:rPr>
        <w:t xml:space="preserve">Morocco Casablanca</w:t>
      </w:r>
      <w:r>
        <w:t xml:space="preserve">.</w:t>
      </w:r>
    </w:p>
    <w:p>
      <w:pPr>
        <w:numPr>
          <w:ilvl w:val="0"/>
          <w:numId w:val="1001"/>
        </w:numPr>
        <w:pStyle w:val="Compact"/>
      </w:pPr>
      <w:r>
        <w:t xml:space="preserve">All pharmaceutical products supplied by our</w:t>
      </w:r>
      <w:r>
        <w:t xml:space="preserve"> </w:t>
      </w:r>
      <w:r>
        <w:rPr>
          <w:bCs/>
          <w:b/>
        </w:rPr>
        <w:t xml:space="preserve">Chemist</w:t>
      </w:r>
      <w:r>
        <w:t xml:space="preserve"> </w:t>
      </w:r>
      <w:r>
        <w:t xml:space="preserve">pharmacy are sourced exclusively from authorized distributors registered with the Moroccan Ministry of Health and comply with the standards set by the Moroccan Pharmacopoeia and the Agence Nationale de Réglementation du Marché des Produits de Santé (ANRMPH).</w:t>
      </w:r>
    </w:p>
    <w:p>
      <w:pPr>
        <w:numPr>
          <w:ilvl w:val="0"/>
          <w:numId w:val="1001"/>
        </w:numPr>
        <w:pStyle w:val="Compact"/>
      </w:pPr>
      <w:r>
        <w:t xml:space="preserve">Payment terms: 50% advance payment upon contract signing; the remaining 50% shall be settled in two equal quarterly installments. Payments are to be made via bank transfer to the account of Pharmacie du Maârif, Bank: Attijariwafa Bank, Casablanca, RIB: 007 600 0001234567890 12.</w:t>
      </w:r>
    </w:p>
    <w:p>
      <w:pPr>
        <w:numPr>
          <w:ilvl w:val="0"/>
          <w:numId w:val="1001"/>
        </w:numPr>
        <w:pStyle w:val="Compact"/>
      </w:pPr>
      <w:r>
        <w:t xml:space="preserve">The</w:t>
      </w:r>
      <w:r>
        <w:t xml:space="preserve"> </w:t>
      </w:r>
      <w:r>
        <w:rPr>
          <w:bCs/>
          <w:b/>
        </w:rPr>
        <w:t xml:space="preserve">Chemist</w:t>
      </w:r>
      <w:r>
        <w:t xml:space="preserve"> </w:t>
      </w:r>
      <w:r>
        <w:t xml:space="preserve">services described herein are provided by a pharmacist holding a valid license issued by the Ordre des Pharmaciens du Maroc (OMP) and registered with the Casablanca regional health authority (Direction Régionale de la Santé, Casablanca).</w:t>
      </w:r>
    </w:p>
    <w:p>
      <w:pPr>
        <w:numPr>
          <w:ilvl w:val="0"/>
          <w:numId w:val="1001"/>
        </w:numPr>
        <w:pStyle w:val="Compact"/>
      </w:pPr>
      <w:r>
        <w:t xml:space="preserve">Delivery of pharmaceutical products within the</w:t>
      </w:r>
      <w:r>
        <w:t xml:space="preserve"> </w:t>
      </w:r>
      <w:r>
        <w:rPr>
          <w:bCs/>
          <w:b/>
        </w:rPr>
        <w:t xml:space="preserve">Morocco Casablanca</w:t>
      </w:r>
      <w:r>
        <w:t xml:space="preserve"> </w:t>
      </w:r>
      <w:r>
        <w:t xml:space="preserve">urban area is included at no additional cost. Deliveries to surrounding provinces (Mohammedia, Bouskoura, Berrechid) will incur a supplementary transport fee of 150 MAD per delivery, to be confirmed in writing.</w:t>
      </w:r>
    </w:p>
    <w:p>
      <w:pPr>
        <w:numPr>
          <w:ilvl w:val="0"/>
          <w:numId w:val="1001"/>
        </w:numPr>
        <w:pStyle w:val="Compact"/>
      </w:pPr>
      <w:r>
        <w:t xml:space="preserve">Any cancellation or modification of the contract after the first month of service will be subject to a penalty of 10% of the remaining contract value, in accordance with Moroccan commercial law (Code de Commerce, Articles 199–210).</w:t>
      </w:r>
    </w:p>
    <w:p>
      <w:pPr>
        <w:numPr>
          <w:ilvl w:val="0"/>
          <w:numId w:val="1001"/>
        </w:numPr>
        <w:pStyle w:val="Compact"/>
      </w:pPr>
      <w:r>
        <w:t xml:space="preserve">This</w:t>
      </w:r>
      <w:r>
        <w:t xml:space="preserve"> </w:t>
      </w:r>
      <w:r>
        <w:rPr>
          <w:bCs/>
          <w:b/>
        </w:rPr>
        <w:t xml:space="preserve">Quotation Estimate</w:t>
      </w:r>
      <w:r>
        <w:t xml:space="preserve"> </w:t>
      </w:r>
      <w:r>
        <w:t xml:space="preserve">does not constitute a binding contract until both parties have signed and stamped the formal service agreement. The final contract will be drafted in both French and Arabic, as required by Moroccan commercial regulations.</w:t>
      </w:r>
    </w:p>
    <w:p>
      <w:pPr>
        <w:numPr>
          <w:ilvl w:val="0"/>
          <w:numId w:val="1001"/>
        </w:numPr>
        <w:pStyle w:val="Compact"/>
      </w:pPr>
      <w:r>
        <w:t xml:space="preserve">All compounded preparations will be prepared in strict accordance with Good Pharmacy Practice (GPP) guidelines and the specific protocols approved by the Moroccan health authorities. Batch records and stability data will be made available to the client upon request.</w:t>
      </w:r>
    </w:p>
    <w:p>
      <w:pPr>
        <w:numPr>
          <w:ilvl w:val="0"/>
          <w:numId w:val="1001"/>
        </w:numPr>
        <w:pStyle w:val="Compact"/>
      </w:pPr>
      <w:r>
        <w:t xml:space="preserve">Confidentiality: All patient data, clinical records, and commercial information exchanged in the course of this engagement shall be treated as strictly confidential in compliance with Moroccan data protection law (Loi 09-08) and the professional secrecy obligations binding on every licensed</w:t>
      </w:r>
      <w:r>
        <w:t xml:space="preserve"> </w:t>
      </w:r>
      <w:r>
        <w:rPr>
          <w:bCs/>
          <w:b/>
        </w:rPr>
        <w:t xml:space="preserve">Chemist</w:t>
      </w:r>
      <w:r>
        <w:t xml:space="preserve"> </w:t>
      </w:r>
      <w:r>
        <w:t xml:space="preserve">in Morocco.</w:t>
      </w:r>
    </w:p>
    <w:bookmarkEnd w:id="23"/>
    <w:p>
      <w:pPr>
        <w:pStyle w:val="FirstParagraph"/>
      </w:pPr>
      <w:r>
        <w:rPr>
          <w:bCs/>
          <w:b/>
        </w:rPr>
        <w:t xml:space="preserve">For Pharmacie du Maârif (Chemist / Supplier)</w:t>
      </w:r>
    </w:p>
    <w:p>
      <w:pPr>
        <w:pStyle w:val="BodyText"/>
      </w:pPr>
      <w:r>
        <w:t xml:space="preserve">Dr. Youssef El Amrani</w:t>
      </w:r>
    </w:p>
    <w:p>
      <w:pPr>
        <w:pStyle w:val="BodyText"/>
      </w:pPr>
      <w:r>
        <w:t xml:space="preserve">Licensed Pharmacist – OMP No. 12345</w:t>
      </w:r>
    </w:p>
    <w:p>
      <w:pPr>
        <w:pStyle w:val="BodyText"/>
      </w:pPr>
      <w:r>
        <w:t xml:space="preserve">Signature &amp; Official Stamp</w:t>
      </w:r>
    </w:p>
    <w:p>
      <w:pPr>
        <w:pStyle w:val="BodyText"/>
      </w:pPr>
      <w:r>
        <w:rPr>
          <w:bCs/>
          <w:b/>
        </w:rPr>
        <w:t xml:space="preserve">For Clinique Al Andalous (Client)</w:t>
      </w:r>
    </w:p>
    <w:p>
      <w:pPr>
        <w:pStyle w:val="BodyText"/>
      </w:pPr>
      <w:r>
        <w:t xml:space="preserve">Dr. Fatima Zahra Benali</w:t>
      </w:r>
    </w:p>
    <w:p>
      <w:pPr>
        <w:pStyle w:val="BodyText"/>
      </w:pPr>
      <w:r>
        <w:t xml:space="preserve">Medical Director</w:t>
      </w:r>
    </w:p>
    <w:p>
      <w:pPr>
        <w:pStyle w:val="BodyText"/>
      </w:pPr>
      <w:r>
        <w:t xml:space="preserve">Signature &amp; Official Stamp</w:t>
      </w:r>
    </w:p>
    <w:p>
      <w:pPr>
        <w:pStyle w:val="BodyText"/>
      </w:pPr>
      <w:r>
        <w:t xml:space="preserve">Pharmacie du Maârif – Licensed Chemist &amp; Pharmacy – Casablanca, Morocco</w:t>
      </w:r>
    </w:p>
    <w:p>
      <w:pPr>
        <w:pStyle w:val="BodyText"/>
      </w:pPr>
      <w:r>
        <w:t xml:space="preserve">This Quotation Estimate (QE-2025-CAS-00847) was prepared in accordance with the professional standards of the Ordre des Pharmaciens du Maroc and the commercial regulations of the Grand Casablanca region.</w:t>
      </w:r>
    </w:p>
    <w:p>
      <w:pPr>
        <w:pStyle w:val="BodyText"/>
      </w:pPr>
      <w:r>
        <w:t xml:space="preserve">Document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Morocco Casablanca</dc:title>
  <dc:creator/>
  <dc:language>en</dc:language>
  <cp:keywords/>
  <dcterms:created xsi:type="dcterms:W3CDTF">2026-10-10T05:05:45Z</dcterms:created>
  <dcterms:modified xsi:type="dcterms:W3CDTF">2026-10-10T05:05:45Z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