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Chemist &amp; Pharmaceutical Supplies</w:t>
      </w:r>
    </w:p>
    <w:p>
      <w:pPr>
        <w:pStyle w:val="BodyText"/>
      </w:pPr>
      <w:r>
        <w:t xml:space="preserve">Abuja, Nigeria</w:t>
      </w:r>
    </w:p>
    <w:bookmarkEnd w:id="20"/>
    <w:p>
      <w:pPr>
        <w:pStyle w:val="BodyText"/>
      </w:pPr>
      <w:r>
        <w:rPr>
          <w:bCs/>
          <w:b/>
        </w:rPr>
        <w:t xml:space="preserve">Supplier:</w:t>
      </w:r>
      <w:r>
        <w:br/>
      </w:r>
      <w:r>
        <w:t xml:space="preserve">ChemistPro Nigeria Ltd.</w:t>
      </w:r>
      <w:r>
        <w:br/>
      </w:r>
      <w:r>
        <w:t xml:space="preserve">Plot 14, Garki Industrial Layout</w:t>
      </w:r>
      <w:r>
        <w:br/>
      </w:r>
      <w:r>
        <w:t xml:space="preserve">Garki, Abuja, Nigeria</w:t>
      </w:r>
      <w:r>
        <w:br/>
      </w:r>
      <w:r>
        <w:t xml:space="preserve">Tel: +234 803 555 0192</w:t>
      </w:r>
      <w:r>
        <w:br/>
      </w:r>
      <w:r>
        <w:t xml:space="preserve">Email: sales@chemistpronigeria.com</w:t>
      </w:r>
      <w:r>
        <w:br/>
      </w:r>
      <w:r>
        <w:t xml:space="preserve">RC No: 1234567</w:t>
      </w:r>
    </w:p>
    <w:p>
      <w:pPr>
        <w:pStyle w:val="BodyText"/>
      </w:pPr>
      <w:r>
        <w:rPr>
          <w:bCs/>
          <w:b/>
        </w:rPr>
        <w:t xml:space="preserve">Client:</w:t>
      </w:r>
      <w:r>
        <w:br/>
      </w:r>
      <w:r>
        <w:t xml:space="preserve">Federal Medical Centre Abuja</w:t>
      </w:r>
      <w:r>
        <w:br/>
      </w:r>
      <w:r>
        <w:t xml:space="preserve">FMC Road, Garki</w:t>
      </w:r>
      <w:r>
        <w:br/>
      </w:r>
      <w:r>
        <w:t xml:space="preserve">Abuja, Nigeria</w:t>
      </w:r>
      <w:r>
        <w:br/>
      </w:r>
      <w:r>
        <w:t xml:space="preserve">Attn: Dr. Amina Yusuf</w:t>
      </w:r>
      <w:r>
        <w:br/>
      </w:r>
      <w:r>
        <w:t xml:space="preserve">Procurement Department</w:t>
      </w:r>
      <w:r>
        <w:br/>
      </w:r>
      <w:r>
        <w:t xml:space="preserve">Tel: +234 805 772 3341</w:t>
      </w:r>
    </w:p>
    <w:p>
      <w:pPr>
        <w:pStyle w:val="BodyText"/>
      </w:pPr>
      <w:r>
        <w:rPr>
          <w:bCs/>
          <w:b/>
        </w:rPr>
        <w:t xml:space="preserve">Quotation No:</w:t>
      </w:r>
      <w:r>
        <w:t xml:space="preserve"> </w:t>
      </w:r>
      <w:r>
        <w:t xml:space="preserve">QTE-ABJ-2025-00482</w:t>
      </w:r>
      <w:r>
        <w:br/>
      </w:r>
      <w:r>
        <w:rPr>
          <w:bCs/>
          <w:b/>
        </w:rPr>
        <w:t xml:space="preserve">Date Issued:</w:t>
      </w:r>
      <w:r>
        <w:t xml:space="preserve"> </w:t>
      </w:r>
      <w:r>
        <w:t xml:space="preserve">15th June 2025</w:t>
      </w:r>
      <w:r>
        <w:br/>
      </w:r>
      <w:r>
        <w:rPr>
          <w:bCs/>
          <w:b/>
        </w:rPr>
        <w:t xml:space="preserve">Validity Period:</w:t>
      </w:r>
      <w:r>
        <w:t xml:space="preserve"> </w:t>
      </w:r>
      <w:r>
        <w:t xml:space="preserve">30 Days</w:t>
      </w:r>
    </w:p>
    <w:p>
      <w:pPr>
        <w:pStyle w:val="BodyText"/>
      </w:pPr>
      <w:r>
        <w:rPr>
          <w:bCs/>
          <w:b/>
        </w:rPr>
        <w:t xml:space="preserve">Payment Terms:</w:t>
      </w:r>
      <w:r>
        <w:t xml:space="preserve"> </w:t>
      </w:r>
      <w:r>
        <w:t xml:space="preserve">50% Advance / 50% on Delivery</w:t>
      </w:r>
      <w:r>
        <w:br/>
      </w:r>
      <w:r>
        <w:rPr>
          <w:bCs/>
          <w:b/>
        </w:rPr>
        <w:t xml:space="preserve">Delivery Location:</w:t>
      </w:r>
      <w:r>
        <w:t xml:space="preserve"> </w:t>
      </w:r>
      <w:r>
        <w:t xml:space="preserve">Abuja, Nigeria</w:t>
      </w:r>
      <w:r>
        <w:br/>
      </w:r>
      <w:r>
        <w:rPr>
          <w:bCs/>
          <w:b/>
        </w:rPr>
        <w:t xml:space="preserve">Delivery Period:</w:t>
      </w:r>
      <w:r>
        <w:t xml:space="preserve"> </w:t>
      </w:r>
      <w:r>
        <w:t xml:space="preserve">14 Working Days</w:t>
      </w:r>
    </w:p>
    <w:bookmarkStart w:id="21" w:name="quotation-estimate-summary"/>
    <w:p>
      <w:pPr>
        <w:pStyle w:val="Heading2"/>
      </w:pPr>
      <w:r>
        <w:t xml:space="preserve">Quotation Estimate Summary</w:t>
      </w:r>
    </w:p>
    <w:p>
      <w:pPr>
        <w:pStyle w:val="FirstParagraph"/>
      </w:pPr>
      <w:r>
        <w:t xml:space="preserve">This</w:t>
      </w:r>
      <w:r>
        <w:t xml:space="preserve"> </w:t>
      </w:r>
      <w:r>
        <w:t xml:space="preserve">Quotation Estimate</w:t>
      </w:r>
      <w:r>
        <w:t xml:space="preserve"> </w:t>
      </w:r>
      <w:r>
        <w:t xml:space="preserve">is issued by ChemistPro Nigeria Ltd., a registered and licensed</w:t>
      </w:r>
      <w:r>
        <w:t xml:space="preserve"> </w:t>
      </w:r>
      <w:r>
        <w:t xml:space="preserve">Chemist</w:t>
      </w:r>
      <w:r>
        <w:t xml:space="preserve"> </w:t>
      </w:r>
      <w:r>
        <w:t xml:space="preserve">and pharmaceutical distribution company operating in</w:t>
      </w:r>
      <w:r>
        <w:t xml:space="preserve"> </w:t>
      </w:r>
      <w:r>
        <w:t xml:space="preserve">Nigeria Abuja</w:t>
      </w:r>
      <w:r>
        <w:t xml:space="preserve">, in response to the procurement request received from the Federal Medical Centre Abuja. This document outlines the comprehensive pricing, specifications, and delivery terms for the supply of pharmaceutical products, laboratory reagents, and chemical supplies as detailed below. All prices are quoted in Nigerian Naira (NGN) and are inclusive of Value Added Tax (VAT) at the prevailing rate of 7.5% as applicable in the Federal Capital Territory, Abuja.</w:t>
      </w:r>
    </w:p>
    <w:bookmarkEnd w:id="21"/>
    <w:bookmarkStart w:id="22"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Chemist Supplies</w:t>
            </w:r>
          </w:p>
        </w:tc>
        <w:tc>
          <w:tcPr/>
          <w:p>
            <w:pPr>
              <w:pStyle w:val="Compact"/>
              <w:jc w:val="left"/>
            </w:pPr>
            <w:r>
              <w:t xml:space="preserve">Specification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Amoxicillin 500mg Capsules</w:t>
            </w:r>
          </w:p>
        </w:tc>
        <w:tc>
          <w:tcPr/>
          <w:p>
            <w:pPr>
              <w:pStyle w:val="Compact"/>
              <w:jc w:val="left"/>
            </w:pPr>
            <w:r>
              <w:t xml:space="preserve">28 capsules per strip, NAFDAC approved</w:t>
            </w:r>
          </w:p>
        </w:tc>
        <w:tc>
          <w:tcPr/>
          <w:p>
            <w:pPr>
              <w:pStyle w:val="Compact"/>
              <w:jc w:val="left"/>
            </w:pPr>
            <w:r>
              <w:t xml:space="preserve">Box (10 strips)</w:t>
            </w:r>
          </w:p>
        </w:tc>
        <w:tc>
          <w:tcPr/>
          <w:p>
            <w:pPr>
              <w:pStyle w:val="Compact"/>
              <w:jc w:val="left"/>
            </w:pPr>
            <w:r>
              <w:t xml:space="preserve">200</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Paracetamol 500mg Tablets</w:t>
            </w:r>
          </w:p>
        </w:tc>
        <w:tc>
          <w:tcPr/>
          <w:p>
            <w:pPr>
              <w:pStyle w:val="Compact"/>
              <w:jc w:val="left"/>
            </w:pPr>
            <w:r>
              <w:t xml:space="preserve">100 tablets per bottle, USP grade</w:t>
            </w:r>
          </w:p>
        </w:tc>
        <w:tc>
          <w:tcPr/>
          <w:p>
            <w:pPr>
              <w:pStyle w:val="Compact"/>
              <w:jc w:val="left"/>
            </w:pPr>
            <w:r>
              <w:t xml:space="preserve">Box (5 bottles)</w:t>
            </w:r>
          </w:p>
        </w:tc>
        <w:tc>
          <w:tcPr/>
          <w:p>
            <w:pPr>
              <w:pStyle w:val="Compact"/>
              <w:jc w:val="left"/>
            </w:pPr>
            <w:r>
              <w:t xml:space="preserve">350</w:t>
            </w:r>
          </w:p>
        </w:tc>
        <w:tc>
          <w:tcPr/>
          <w:p>
            <w:pPr>
              <w:pStyle w:val="Compact"/>
              <w:jc w:val="left"/>
            </w:pPr>
            <w:r>
              <w:t xml:space="preserve">12,000.00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Sodium Chloride 0.9% IV Solution</w:t>
            </w:r>
          </w:p>
        </w:tc>
        <w:tc>
          <w:tcPr/>
          <w:p>
            <w:pPr>
              <w:pStyle w:val="Compact"/>
              <w:jc w:val="left"/>
            </w:pPr>
            <w:r>
              <w:t xml:space="preserve">500ml bags, single-use, sterile</w:t>
            </w:r>
          </w:p>
        </w:tc>
        <w:tc>
          <w:tcPr/>
          <w:p>
            <w:pPr>
              <w:pStyle w:val="Compact"/>
              <w:jc w:val="left"/>
            </w:pPr>
            <w:r>
              <w:t xml:space="preserve">Box (20 bags)</w:t>
            </w:r>
          </w:p>
        </w:tc>
        <w:tc>
          <w:tcPr/>
          <w:p>
            <w:pPr>
              <w:pStyle w:val="Compact"/>
              <w:jc w:val="left"/>
            </w:pPr>
            <w:r>
              <w:t xml:space="preserve">150</w:t>
            </w:r>
          </w:p>
        </w:tc>
        <w:tc>
          <w:tcPr/>
          <w:p>
            <w:pPr>
              <w:pStyle w:val="Compact"/>
              <w:jc w:val="left"/>
            </w:pPr>
            <w:r>
              <w:t xml:space="preserve">22,000.00</w:t>
            </w:r>
          </w:p>
        </w:tc>
        <w:tc>
          <w:tcPr/>
          <w:p>
            <w:pPr>
              <w:pStyle w:val="Compact"/>
              <w:jc w:val="left"/>
            </w:pPr>
            <w:r>
              <w:t xml:space="preserve">3,300,000.00</w:t>
            </w:r>
          </w:p>
        </w:tc>
      </w:tr>
      <w:tr>
        <w:tc>
          <w:tcPr/>
          <w:p>
            <w:pPr>
              <w:pStyle w:val="Compact"/>
              <w:jc w:val="left"/>
            </w:pPr>
            <w:r>
              <w:t xml:space="preserve">4</w:t>
            </w:r>
          </w:p>
        </w:tc>
        <w:tc>
          <w:tcPr/>
          <w:p>
            <w:pPr>
              <w:pStyle w:val="Compact"/>
              <w:jc w:val="left"/>
            </w:pPr>
            <w:r>
              <w:t xml:space="preserve">Laboratory Reagent Kit (Complete)</w:t>
            </w:r>
          </w:p>
        </w:tc>
        <w:tc>
          <w:tcPr/>
          <w:p>
            <w:pPr>
              <w:pStyle w:val="Compact"/>
              <w:jc w:val="left"/>
            </w:pPr>
            <w:r>
              <w:t xml:space="preserve">Chemist-grade analytical reagents, 500ml each</w:t>
            </w:r>
          </w:p>
        </w:tc>
        <w:tc>
          <w:tcPr/>
          <w:p>
            <w:pPr>
              <w:pStyle w:val="Compact"/>
              <w:jc w:val="left"/>
            </w:pPr>
            <w:r>
              <w:t xml:space="preserve">Set</w:t>
            </w:r>
          </w:p>
        </w:tc>
        <w:tc>
          <w:tcPr/>
          <w:p>
            <w:pPr>
              <w:pStyle w:val="Compact"/>
              <w:jc w:val="left"/>
            </w:pPr>
            <w:r>
              <w:t xml:space="preserve">25</w:t>
            </w:r>
          </w:p>
        </w:tc>
        <w:tc>
          <w:tcPr/>
          <w:p>
            <w:pPr>
              <w:pStyle w:val="Compact"/>
              <w:jc w:val="left"/>
            </w:pPr>
            <w:r>
              <w:t xml:space="preserve">85,000.00</w:t>
            </w:r>
          </w:p>
        </w:tc>
        <w:tc>
          <w:tcPr/>
          <w:p>
            <w:pPr>
              <w:pStyle w:val="Compact"/>
              <w:jc w:val="left"/>
            </w:pPr>
            <w:r>
              <w:t xml:space="preserve">2,125,000.00</w:t>
            </w:r>
          </w:p>
        </w:tc>
      </w:tr>
      <w:tr>
        <w:tc>
          <w:tcPr/>
          <w:p>
            <w:pPr>
              <w:pStyle w:val="Compact"/>
              <w:jc w:val="left"/>
            </w:pPr>
            <w:r>
              <w:t xml:space="preserve">5</w:t>
            </w:r>
          </w:p>
        </w:tc>
        <w:tc>
          <w:tcPr/>
          <w:p>
            <w:pPr>
              <w:pStyle w:val="Compact"/>
              <w:jc w:val="left"/>
            </w:pPr>
            <w:r>
              <w:t xml:space="preserve">Distilled Water (Chemist Grade)</w:t>
            </w:r>
          </w:p>
        </w:tc>
        <w:tc>
          <w:tcPr/>
          <w:p>
            <w:pPr>
              <w:pStyle w:val="Compact"/>
              <w:jc w:val="left"/>
            </w:pPr>
            <w:r>
              <w:t xml:space="preserve">20 litres per container, pharmaceutical grade</w:t>
            </w:r>
          </w:p>
        </w:tc>
        <w:tc>
          <w:tcPr/>
          <w:p>
            <w:pPr>
              <w:pStyle w:val="Compact"/>
              <w:jc w:val="left"/>
            </w:pPr>
            <w:r>
              <w:t xml:space="preserve">Container</w:t>
            </w:r>
          </w:p>
        </w:tc>
        <w:tc>
          <w:tcPr/>
          <w:p>
            <w:pPr>
              <w:pStyle w:val="Compact"/>
              <w:jc w:val="left"/>
            </w:pPr>
            <w:r>
              <w:t xml:space="preserve">100</w:t>
            </w:r>
          </w:p>
        </w:tc>
        <w:tc>
          <w:tcPr/>
          <w:p>
            <w:pPr>
              <w:pStyle w:val="Compact"/>
              <w:jc w:val="left"/>
            </w:pPr>
            <w:r>
              <w:t xml:space="preserve">4,500.00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Surgical Gloves (Powder-Free)</w:t>
            </w:r>
          </w:p>
        </w:tc>
        <w:tc>
          <w:tcPr/>
          <w:p>
            <w:pPr>
              <w:pStyle w:val="Compact"/>
              <w:jc w:val="left"/>
            </w:pPr>
            <w:r>
              <w:t xml:space="preserve">Medium size, nitrile, CE marked</w:t>
            </w:r>
          </w:p>
        </w:tc>
        <w:tc>
          <w:tcPr/>
          <w:p>
            <w:pPr>
              <w:pStyle w:val="Compact"/>
              <w:jc w:val="left"/>
            </w:pPr>
            <w:r>
              <w:t xml:space="preserve">Box (100 pairs)</w:t>
            </w:r>
          </w:p>
        </w:tc>
        <w:tc>
          <w:tcPr/>
          <w:p>
            <w:pPr>
              <w:pStyle w:val="Compact"/>
              <w:jc w:val="left"/>
            </w:pPr>
            <w:r>
              <w:t xml:space="preserve">500</w:t>
            </w:r>
          </w:p>
        </w:tc>
        <w:tc>
          <w:tcPr/>
          <w:p>
            <w:pPr>
              <w:pStyle w:val="Compact"/>
              <w:jc w:val="left"/>
            </w:pPr>
            <w:r>
              <w:t xml:space="preserve">9,800.00</w:t>
            </w:r>
          </w:p>
        </w:tc>
        <w:tc>
          <w:tcPr/>
          <w:p>
            <w:pPr>
              <w:pStyle w:val="Compact"/>
              <w:jc w:val="left"/>
            </w:pPr>
            <w:r>
              <w:t xml:space="preserve">4,900,000.00</w:t>
            </w:r>
          </w:p>
        </w:tc>
      </w:tr>
      <w:tr>
        <w:tc>
          <w:tcPr/>
          <w:p>
            <w:pPr>
              <w:pStyle w:val="Compact"/>
              <w:jc w:val="left"/>
            </w:pPr>
            <w:r>
              <w:t xml:space="preserve">7</w:t>
            </w:r>
          </w:p>
        </w:tc>
        <w:tc>
          <w:tcPr/>
          <w:p>
            <w:pPr>
              <w:pStyle w:val="Compact"/>
              <w:jc w:val="left"/>
            </w:pPr>
            <w:r>
              <w:t xml:space="preserve">Antibiotic Eye Drops (Chloramphenicol)</w:t>
            </w:r>
          </w:p>
        </w:tc>
        <w:tc>
          <w:tcPr/>
          <w:p>
            <w:pPr>
              <w:pStyle w:val="Compact"/>
              <w:jc w:val="left"/>
            </w:pPr>
            <w:r>
              <w:t xml:space="preserve">10ml per bottle, NAFDAC registered</w:t>
            </w:r>
          </w:p>
        </w:tc>
        <w:tc>
          <w:tcPr/>
          <w:p>
            <w:pPr>
              <w:pStyle w:val="Compact"/>
              <w:jc w:val="left"/>
            </w:pPr>
            <w:r>
              <w:t xml:space="preserve">Box (24 bottles)</w:t>
            </w:r>
          </w:p>
        </w:tc>
        <w:tc>
          <w:tcPr/>
          <w:p>
            <w:pPr>
              <w:pStyle w:val="Compact"/>
              <w:jc w:val="left"/>
            </w:pPr>
            <w:r>
              <w:t xml:space="preserve">80</w:t>
            </w:r>
          </w:p>
        </w:tc>
        <w:tc>
          <w:tcPr/>
          <w:p>
            <w:pPr>
              <w:pStyle w:val="Compact"/>
              <w:jc w:val="left"/>
            </w:pPr>
            <w:r>
              <w:t xml:space="preserve">15,500.00</w:t>
            </w:r>
          </w:p>
        </w:tc>
        <w:tc>
          <w:tcPr/>
          <w:p>
            <w:pPr>
              <w:pStyle w:val="Compact"/>
              <w:jc w:val="left"/>
            </w:pPr>
            <w:r>
              <w:t xml:space="preserve">1,240,000.00</w:t>
            </w:r>
          </w:p>
        </w:tc>
      </w:tr>
      <w:tr>
        <w:tc>
          <w:tcPr/>
          <w:p>
            <w:pPr>
              <w:pStyle w:val="Compact"/>
              <w:jc w:val="left"/>
            </w:pPr>
            <w:r>
              <w:t xml:space="preserve">8</w:t>
            </w:r>
          </w:p>
        </w:tc>
        <w:tc>
          <w:tcPr/>
          <w:p>
            <w:pPr>
              <w:pStyle w:val="Compact"/>
              <w:jc w:val="left"/>
            </w:pPr>
            <w:r>
              <w:t xml:space="preserve">Chemical Storage Cabinets (Fire-Resistant)</w:t>
            </w:r>
          </w:p>
        </w:tc>
        <w:tc>
          <w:tcPr/>
          <w:p>
            <w:pPr>
              <w:pStyle w:val="Compact"/>
              <w:jc w:val="left"/>
            </w:pPr>
            <w:r>
              <w:t xml:space="preserve">1200mm x 900mm, double-door, ventilated</w:t>
            </w:r>
          </w:p>
        </w:tc>
        <w:tc>
          <w:tcPr/>
          <w:p>
            <w:pPr>
              <w:pStyle w:val="Compact"/>
              <w:jc w:val="left"/>
            </w:pPr>
            <w:r>
              <w:t xml:space="preserve">Unit</w:t>
            </w:r>
          </w:p>
        </w:tc>
        <w:tc>
          <w:tcPr/>
          <w:p>
            <w:pPr>
              <w:pStyle w:val="Compact"/>
              <w:jc w:val="left"/>
            </w:pPr>
            <w:r>
              <w:t xml:space="preserve">4</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9</w:t>
            </w:r>
          </w:p>
        </w:tc>
        <w:tc>
          <w:tcPr/>
          <w:p>
            <w:pPr>
              <w:pStyle w:val="Compact"/>
              <w:jc w:val="left"/>
            </w:pPr>
            <w:r>
              <w:t xml:space="preserve">Personal Protective Equipment (PPE) Kit</w:t>
            </w:r>
          </w:p>
        </w:tc>
        <w:tc>
          <w:tcPr/>
          <w:p>
            <w:pPr>
              <w:pStyle w:val="Compact"/>
              <w:jc w:val="left"/>
            </w:pPr>
            <w:r>
              <w:t xml:space="preserve">Chemist lab coat, goggles, face mask, apron</w:t>
            </w:r>
          </w:p>
        </w:tc>
        <w:tc>
          <w:tcPr/>
          <w:p>
            <w:pPr>
              <w:pStyle w:val="Compact"/>
              <w:jc w:val="left"/>
            </w:pPr>
            <w:r>
              <w:t xml:space="preserve">Kit</w:t>
            </w:r>
          </w:p>
        </w:tc>
        <w:tc>
          <w:tcPr/>
          <w:p>
            <w:pPr>
              <w:pStyle w:val="Compact"/>
              <w:jc w:val="left"/>
            </w:pPr>
            <w:r>
              <w:t xml:space="preserve">200</w:t>
            </w:r>
          </w:p>
        </w:tc>
        <w:tc>
          <w:tcPr/>
          <w:p>
            <w:pPr>
              <w:pStyle w:val="Compact"/>
              <w:jc w:val="left"/>
            </w:pPr>
            <w:r>
              <w:t xml:space="preserve">18,000.00</w:t>
            </w:r>
          </w:p>
        </w:tc>
        <w:tc>
          <w:tcPr/>
          <w:p>
            <w:pPr>
              <w:pStyle w:val="Compact"/>
              <w:jc w:val="left"/>
            </w:pPr>
            <w:r>
              <w:t xml:space="preserve">3,600,000.00</w:t>
            </w:r>
          </w:p>
        </w:tc>
      </w:tr>
      <w:tr>
        <w:tc>
          <w:tcPr/>
          <w:p>
            <w:pPr>
              <w:pStyle w:val="Compact"/>
              <w:jc w:val="left"/>
            </w:pPr>
            <w:r>
              <w:t xml:space="preserve">10</w:t>
            </w:r>
          </w:p>
        </w:tc>
        <w:tc>
          <w:tcPr/>
          <w:p>
            <w:pPr>
              <w:pStyle w:val="Compact"/>
              <w:jc w:val="left"/>
            </w:pPr>
            <w:r>
              <w:t xml:space="preserve">Pharmaceutical Waste Disposal Bags</w:t>
            </w:r>
          </w:p>
        </w:tc>
        <w:tc>
          <w:tcPr/>
          <w:p>
            <w:pPr>
              <w:pStyle w:val="Compact"/>
              <w:jc w:val="left"/>
            </w:pPr>
            <w:r>
              <w:t xml:space="preserve">Heavy-duty, biohazard marked, 120 litres</w:t>
            </w:r>
          </w:p>
        </w:tc>
        <w:tc>
          <w:tcPr/>
          <w:p>
            <w:pPr>
              <w:pStyle w:val="Compact"/>
              <w:jc w:val="left"/>
            </w:pPr>
            <w:r>
              <w:t xml:space="preserve">Roll (50 bags)</w:t>
            </w:r>
          </w:p>
        </w:tc>
        <w:tc>
          <w:tcPr/>
          <w:p>
            <w:pPr>
              <w:pStyle w:val="Compact"/>
              <w:jc w:val="left"/>
            </w:pPr>
            <w:r>
              <w:t xml:space="preserve">300</w:t>
            </w:r>
          </w:p>
        </w:tc>
        <w:tc>
          <w:tcPr/>
          <w:p>
            <w:pPr>
              <w:pStyle w:val="Compact"/>
              <w:jc w:val="left"/>
            </w:pPr>
            <w:r>
              <w:t xml:space="preserve">7,200.00</w:t>
            </w:r>
          </w:p>
        </w:tc>
        <w:tc>
          <w:tcPr/>
          <w:p>
            <w:pPr>
              <w:pStyle w:val="Compact"/>
              <w:jc w:val="left"/>
            </w:pPr>
            <w:r>
              <w:t xml:space="preserve">2,160,000.00</w:t>
            </w:r>
          </w:p>
        </w:tc>
      </w:tr>
      <w:tr>
        <w:tc>
          <w:tcPr>
            <w:gridSpan w:val="6"/>
          </w:tcPr>
          <w:p>
            <w:pPr>
              <w:pStyle w:val="Compact"/>
              <w:jc w:val="left"/>
            </w:pPr>
            <w:r>
              <w:t xml:space="preserve">GRAND TOTAL (Inclusive of VAT @ 7.5%)</w:t>
            </w:r>
          </w:p>
        </w:tc>
        <w:tc>
          <w:tcPr/>
          <w:p>
            <w:pPr>
              <w:pStyle w:val="Compact"/>
              <w:jc w:val="left"/>
            </w:pPr>
            <w:r>
              <w:t xml:space="preserve">NGN 31,475,000.00</w:t>
            </w:r>
          </w:p>
        </w:tc>
      </w:tr>
    </w:tbl>
    <w:p>
      <w:pPr>
        <w:pStyle w:val="BodyText"/>
      </w:pPr>
      <w:r>
        <w:rPr>
          <w:bCs/>
          <w:b/>
        </w:rPr>
        <w:t xml:space="preserve">Note:</w:t>
      </w:r>
      <w:r>
        <w:t xml:space="preserve"> </w:t>
      </w:r>
      <w:r>
        <w:t xml:space="preserve">This Quotation Estimate is valid for thirty (30) calendar days from the date of issue. Prices are subject to revision in the event of significant fluctuations in the Nigerian Naira exchange rate or changes in NAFDAC regulatory pricing directives. All pharmaceutical products supplied by this Chemist firm comply with the standards set by the National Agency for Food and Drug Administration and Control (NAFDAC) and the Pharmacists Council of Nigeria (PCN).</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days from the date of issuance. Beyond this period, the Chemist supplier reserves the right to revise pricing based on current market conditions in Nigeria Abuja.</w:t>
      </w:r>
    </w:p>
    <w:p>
      <w:pPr>
        <w:numPr>
          <w:ilvl w:val="0"/>
          <w:numId w:val="1001"/>
        </w:numPr>
        <w:pStyle w:val="Compact"/>
      </w:pPr>
      <w:r>
        <w:rPr>
          <w:bCs/>
          <w:b/>
        </w:rPr>
        <w:t xml:space="preserve">Payment Terms:</w:t>
      </w:r>
      <w:r>
        <w:t xml:space="preserve"> </w:t>
      </w:r>
      <w:r>
        <w:t xml:space="preserve">A fifty percent (50%) advance payment is required upon acceptance of this Quotation Estimate. The remaining fifty percent (50%) balance shall be settled within seven (7) working days of confirmed delivery at the designated location in Abuja, Nigeria.</w:t>
      </w:r>
    </w:p>
    <w:p>
      <w:pPr>
        <w:numPr>
          <w:ilvl w:val="0"/>
          <w:numId w:val="1001"/>
        </w:numPr>
        <w:pStyle w:val="Compact"/>
      </w:pPr>
      <w:r>
        <w:rPr>
          <w:bCs/>
          <w:b/>
        </w:rPr>
        <w:t xml:space="preserve">Delivery:</w:t>
      </w:r>
      <w:r>
        <w:t xml:space="preserve"> </w:t>
      </w:r>
      <w:r>
        <w:t xml:space="preserve">All items listed in this Quotation Estimate shall be delivered within fourteen (14) working days from the date of receipt of the advance payment. Delivery shall be made to the Federal Medical Centre Abuja, Garki, Nigeria Abuja, at no additional cost to the client.</w:t>
      </w:r>
    </w:p>
    <w:p>
      <w:pPr>
        <w:numPr>
          <w:ilvl w:val="0"/>
          <w:numId w:val="1001"/>
        </w:numPr>
        <w:pStyle w:val="Compact"/>
      </w:pPr>
      <w:r>
        <w:rPr>
          <w:bCs/>
          <w:b/>
        </w:rPr>
        <w:t xml:space="preserve">Quality Assurance:</w:t>
      </w:r>
      <w:r>
        <w:t xml:space="preserve"> </w:t>
      </w:r>
      <w:r>
        <w:t xml:space="preserve">All pharmaceutical and chemical products supplied by this Chemist firm are guaranteed to be genuine, within their expiration dates (minimum 18 months remaining), and fully compliant with NAFDAC and PCN regulations. Certificates of Analysis and NAFDAC registration numbers shall accompany each consignment.</w:t>
      </w:r>
    </w:p>
    <w:p>
      <w:pPr>
        <w:numPr>
          <w:ilvl w:val="0"/>
          <w:numId w:val="1001"/>
        </w:numPr>
        <w:pStyle w:val="Compact"/>
      </w:pPr>
      <w:r>
        <w:rPr>
          <w:bCs/>
          <w:b/>
        </w:rPr>
        <w:t xml:space="preserve">Warranty and Returns:</w:t>
      </w:r>
      <w:r>
        <w:t xml:space="preserve"> </w:t>
      </w:r>
      <w:r>
        <w:t xml:space="preserve">In the event of any product arriving damaged, expired, or not conforming to the specifications stated in this Quotation Estimate, the Chemist supplier shall replace the affected items within five (5) working days at no additional charge to the client.</w:t>
      </w:r>
    </w:p>
    <w:p>
      <w:pPr>
        <w:numPr>
          <w:ilvl w:val="0"/>
          <w:numId w:val="1001"/>
        </w:numPr>
        <w:pStyle w:val="Compact"/>
      </w:pPr>
      <w:r>
        <w:rPr>
          <w:bCs/>
          <w:b/>
        </w:rPr>
        <w:t xml:space="preserve">Taxation:</w:t>
      </w:r>
      <w:r>
        <w:t xml:space="preserve"> </w:t>
      </w:r>
      <w:r>
        <w:t xml:space="preserve">All prices stated in this Quotation Estimate are inclusive of Value Added Tax (VAT) at 7.5% as applicable in the Federal Capital Territory. No additional charges shall be levied beyond the total amount stated herein.</w:t>
      </w:r>
    </w:p>
    <w:p>
      <w:pPr>
        <w:numPr>
          <w:ilvl w:val="0"/>
          <w:numId w:val="1001"/>
        </w:numPr>
        <w:pStyle w:val="Compact"/>
      </w:pPr>
      <w:r>
        <w:rPr>
          <w:bCs/>
          <w:b/>
        </w:rPr>
        <w:t xml:space="preserve">Regulatory Compliance:</w:t>
      </w:r>
      <w:r>
        <w:t xml:space="preserve"> </w:t>
      </w:r>
      <w:r>
        <w:t xml:space="preserve">ChemistPro Nigeria Ltd. holds a valid Pharmacy Practice License (PPL) issued by the Pharmacists Council of Nigeria, a NAFDAC Distribution License, and a valid Certificate of Registration with the Corporate Affairs Commission (CAC) of Nigeria. All operations are conducted in strict compliance with the laws of the Federal Republic of Nigeria.</w:t>
      </w:r>
    </w:p>
    <w:p>
      <w:pPr>
        <w:numPr>
          <w:ilvl w:val="0"/>
          <w:numId w:val="1001"/>
        </w:numPr>
        <w:pStyle w:val="Compact"/>
      </w:pPr>
      <w:r>
        <w:rPr>
          <w:bCs/>
          <w:b/>
        </w:rPr>
        <w:t xml:space="preserve">Dispute Resolution:</w:t>
      </w:r>
      <w:r>
        <w:t xml:space="preserve"> </w:t>
      </w:r>
      <w:r>
        <w:t xml:space="preserve">Any disputes arising from this Quotation Estimate shall be resolved amicably through negotiation. In the event of failure to reach a resolution, the matter shall be referred to the courts of competent jurisdiction in Abuja, Nigeria.</w:t>
      </w:r>
    </w:p>
    <w:p>
      <w:pPr>
        <w:numPr>
          <w:ilvl w:val="0"/>
          <w:numId w:val="1001"/>
        </w:numPr>
        <w:pStyle w:val="Compact"/>
      </w:pPr>
      <w:r>
        <w:rPr>
          <w:bCs/>
          <w:b/>
        </w:rPr>
        <w:t xml:space="preserve">Confidentiality:</w:t>
      </w:r>
      <w:r>
        <w:t xml:space="preserve"> </w:t>
      </w:r>
      <w:r>
        <w:t xml:space="preserve">Both parties agree to maintain the confidentiality of all commercial information exchanged in connection with this Quotation Estimate and shall not disclose pricing or terms to third parties without prior written consent.</w:t>
      </w:r>
    </w:p>
    <w:p>
      <w:pPr>
        <w:numPr>
          <w:ilvl w:val="0"/>
          <w:numId w:val="1001"/>
        </w:numPr>
        <w:pStyle w:val="Compact"/>
      </w:pPr>
      <w:r>
        <w:rPr>
          <w:bCs/>
          <w:b/>
        </w:rPr>
        <w:t xml:space="preserve">Force Majeure:</w:t>
      </w:r>
      <w:r>
        <w:t xml:space="preserve"> </w:t>
      </w:r>
      <w:r>
        <w:t xml:space="preserve">Neither party shall be held liable for failure to perform obligations under this Quotation Estimate due to circumstances beyond reasonable control, including but not limited to natural disasters, government regulations, or civil unrest in Nigeria Abuja.</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 Quotation Estimate. This document constitutes a binding agreement upon full execution by both the Chemist supplier and the client.</w:t>
      </w:r>
    </w:p>
    <w:p>
      <w:pPr>
        <w:pStyle w:val="BodyText"/>
      </w:pPr>
      <w:r>
        <w:rPr>
          <w:bCs/>
          <w:b/>
        </w:rPr>
        <w:t xml:space="preserve">For: ChemistPro Nigeria Ltd. (Supplier)</w:t>
      </w:r>
      <w:r>
        <w:br/>
      </w:r>
      <w:r>
        <w:t xml:space="preserve">Name: Mr. Chukwuma Okafor</w:t>
      </w:r>
      <w:r>
        <w:br/>
      </w:r>
      <w:r>
        <w:t xml:space="preserve">Title: Chief Pharmacist / Managing Director</w:t>
      </w:r>
      <w:r>
        <w:br/>
      </w:r>
      <w:r>
        <w:t xml:space="preserve">Signature: _________________________</w:t>
      </w:r>
      <w:r>
        <w:br/>
      </w:r>
      <w:r>
        <w:t xml:space="preserve">Date: _________________________</w:t>
      </w:r>
    </w:p>
    <w:p>
      <w:pPr>
        <w:pStyle w:val="BodyText"/>
      </w:pPr>
      <w:r>
        <w:rPr>
          <w:bCs/>
          <w:b/>
        </w:rPr>
        <w:t xml:space="preserve">For: Federal Medical Centre Abuja (Client)</w:t>
      </w:r>
      <w:r>
        <w:br/>
      </w:r>
      <w:r>
        <w:t xml:space="preserve">Name: Dr. Amina Yusuf</w:t>
      </w:r>
      <w:r>
        <w:br/>
      </w:r>
      <w:r>
        <w:t xml:space="preserve">Title: Head, Procurement Department</w:t>
      </w:r>
      <w:r>
        <w:br/>
      </w:r>
      <w:r>
        <w:t xml:space="preserve">Signature: _________________________</w:t>
      </w:r>
      <w:r>
        <w:br/>
      </w:r>
      <w:r>
        <w:t xml:space="preserve">Date: _________________________</w:t>
      </w:r>
    </w:p>
    <w:p>
      <w:pPr>
        <w:pStyle w:val="BodyText"/>
      </w:pPr>
      <w:r>
        <w:t xml:space="preserve">ChemistPro Nigeria Ltd. | Plot 14, Garki Industrial Layout, Garki, Abuja, Nigeria | RC: 1234567 | PPL: PCN/ABJ/2024/0089</w:t>
      </w:r>
    </w:p>
    <w:p>
      <w:pPr>
        <w:pStyle w:val="BodyText"/>
      </w:pPr>
      <w:r>
        <w:t xml:space="preserve">This Quotation Estimate is the property of ChemistPro Nigeria Ltd. and is intended solely for the use of the addressee. Unauthorized reproduction or distribution is strictly prohibited.</w:t>
      </w:r>
    </w:p>
    <w:p>
      <w:pPr>
        <w:pStyle w:val="BodyText"/>
      </w:pPr>
      <w:r>
        <w:t xml:space="preserve">Document Reference: QTE-ABJ-2025-00482 | Generated: 15/06/2025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Supplies - Nigeria Abuja</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