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Qatar</w:t>
      </w:r>
      <w:r>
        <w:t xml:space="preserve"> </w:t>
      </w:r>
      <w:r>
        <w:t xml:space="preserve">Doha</w:t>
      </w:r>
    </w:p>
    <w:bookmarkStart w:id="21" w:name="quotation-estimate"/>
    <w:p>
      <w:pPr>
        <w:pStyle w:val="Heading1"/>
      </w:pPr>
      <w:r>
        <w:t xml:space="preserve">QUOTATION ESTIMATE</w:t>
      </w:r>
    </w:p>
    <w:bookmarkStart w:id="20" w:name="Xb7934abbf3efa1da8cefca869d2cbf24a4d219d"/>
    <w:p>
      <w:pPr>
        <w:pStyle w:val="Heading2"/>
      </w:pPr>
      <w:r>
        <w:t xml:space="preserve">Professional Chemist Services &amp; Pharmaceutical Supply</w:t>
      </w:r>
    </w:p>
    <w:p>
      <w:pPr>
        <w:pStyle w:val="FirstParagraph"/>
      </w:pPr>
      <w:r>
        <w:t xml:space="preserve">Doha, State of Qatar | P.O. Box 4521, Al Rayyan, Qatar Doha 12345</w:t>
      </w:r>
    </w:p>
    <w:p>
      <w:pPr>
        <w:pStyle w:val="BodyText"/>
      </w:pPr>
      <w:r>
        <w:t xml:space="preserve">Tel: +974-4455-6677 | Email: info@dohachemist.qa | CR: 1234567</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QTE-2025-QTD-00847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Qatari Riyal (QAR)</w:t>
            </w:r>
          </w:p>
        </w:tc>
      </w:tr>
      <w:tr>
        <w:tc>
          <w:tcPr/>
          <w:p>
            <w:pPr>
              <w:pStyle w:val="Compact"/>
              <w:jc w:val="left"/>
            </w:pPr>
            <w:r>
              <w:t xml:space="preserve">Prepared For:</w:t>
            </w:r>
          </w:p>
        </w:tc>
        <w:tc>
          <w:tcPr/>
          <w:p>
            <w:pPr>
              <w:pStyle w:val="Compact"/>
              <w:jc w:val="left"/>
            </w:pPr>
            <w:r>
              <w:t xml:space="preserve">Al Jazeera Medical Centre, Doha, Qatar</w:t>
            </w:r>
          </w:p>
        </w:tc>
        <w:tc>
          <w:tcPr/>
          <w:p>
            <w:pPr>
              <w:pStyle w:val="Compact"/>
              <w:jc w:val="left"/>
            </w:pPr>
            <w:r>
              <w:t xml:space="preserve">Contact Person:</w:t>
            </w:r>
          </w:p>
        </w:tc>
        <w:tc>
          <w:tcPr/>
          <w:p>
            <w:pPr>
              <w:pStyle w:val="Compact"/>
              <w:jc w:val="left"/>
            </w:pPr>
            <w:r>
              <w:t xml:space="preserve">Dr. Khalid Al-Mansoori</w:t>
            </w:r>
          </w:p>
        </w:tc>
      </w:tr>
      <w:tr>
        <w:tc>
          <w:tcPr/>
          <w:p>
            <w:pPr>
              <w:pStyle w:val="Compact"/>
              <w:jc w:val="left"/>
            </w:pPr>
            <w:r>
              <w:t xml:space="preserve">Prepared By:</w:t>
            </w:r>
          </w:p>
        </w:tc>
        <w:tc>
          <w:tcPr/>
          <w:p>
            <w:pPr>
              <w:pStyle w:val="Compact"/>
              <w:jc w:val="left"/>
            </w:pPr>
            <w:r>
              <w:t xml:space="preserve">Doha Chemist &amp; Pharmaceutical Services LLC</w:t>
            </w:r>
          </w:p>
        </w:tc>
        <w:tc>
          <w:tcPr/>
          <w:p>
            <w:pPr>
              <w:pStyle w:val="Compact"/>
              <w:jc w:val="left"/>
            </w:pPr>
            <w:r>
              <w:t xml:space="preserve">Reference:</w:t>
            </w:r>
          </w:p>
        </w:tc>
        <w:tc>
          <w:tcPr/>
          <w:p>
            <w:pPr>
              <w:pStyle w:val="Compact"/>
              <w:jc w:val="left"/>
            </w:pPr>
            <w:r>
              <w:t xml:space="preserve">PO-REQ-2025-3312</w:t>
            </w:r>
          </w:p>
        </w:tc>
      </w:tr>
    </w:tbl>
    <w:p>
      <w:pPr>
        <w:pStyle w:val="BodyText"/>
      </w:pPr>
      <w:r>
        <w:t xml:space="preserve">Dear Dr. Al-Mansoori,</w:t>
      </w:r>
    </w:p>
    <w:p>
      <w:pPr>
        <w:pStyle w:val="BodyText"/>
      </w:pPr>
      <w:r>
        <w:t xml:space="preserve">Thank you for considering Doha Chemist &amp; Pharmaceutical Services LLC for your institutional supply and laboratory analysis requirements. This</w:t>
      </w:r>
      <w:r>
        <w:t xml:space="preserve"> </w:t>
      </w:r>
      <w:r>
        <w:rPr>
          <w:bCs/>
          <w:b/>
        </w:rPr>
        <w:t xml:space="preserve">Quotation Estimate</w:t>
      </w:r>
      <w:r>
        <w:t xml:space="preserve"> </w:t>
      </w:r>
      <w:r>
        <w:t xml:space="preserve">has been prepared specifically for the professional</w:t>
      </w:r>
      <w:r>
        <w:t xml:space="preserve"> </w:t>
      </w:r>
      <w:r>
        <w:rPr>
          <w:bCs/>
          <w:b/>
        </w:rPr>
        <w:t xml:space="preserve">Chemist</w:t>
      </w:r>
      <w:r>
        <w:t xml:space="preserve"> </w:t>
      </w:r>
      <w:r>
        <w:t xml:space="preserve">services and pharmaceutical product supply to be delivered within</w:t>
      </w:r>
      <w:r>
        <w:t xml:space="preserve"> </w:t>
      </w:r>
      <w:r>
        <w:rPr>
          <w:bCs/>
          <w:b/>
        </w:rPr>
        <w:t xml:space="preserve">Qatar Doha</w:t>
      </w:r>
      <w:r>
        <w:t xml:space="preserve"> </w:t>
      </w:r>
      <w:r>
        <w:t xml:space="preserve">and its surrounding districts. We are pleased to present the following detailed breakdown of costs, service inclusions, and delivery terms as requested in your procurement inquiry dated 28 May 2025.</w:t>
      </w:r>
    </w:p>
    <w:bookmarkStart w:id="22" w:name="X21d5539fcbb3c8fca611d9cba295ffb21a77309"/>
    <w:p>
      <w:pPr>
        <w:pStyle w:val="Heading3"/>
      </w:pPr>
      <w:r>
        <w:t xml:space="preserve">Itemized Quotation Estimate – Chemist Services &amp;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Chemist Service / Product</w:t>
            </w:r>
          </w:p>
        </w:tc>
        <w:tc>
          <w:tcPr/>
          <w:p>
            <w:pPr>
              <w:pStyle w:val="Compact"/>
              <w:jc w:val="left"/>
            </w:pPr>
            <w:r>
              <w:t xml:space="preserve">Qty</w:t>
            </w:r>
          </w:p>
        </w:tc>
        <w:tc>
          <w:tcPr/>
          <w:p>
            <w:pPr>
              <w:pStyle w:val="Compact"/>
              <w:jc w:val="left"/>
            </w:pPr>
            <w:r>
              <w:t xml:space="preserve">Unit (QAR)</w:t>
            </w:r>
          </w:p>
        </w:tc>
        <w:tc>
          <w:tcPr/>
          <w:p>
            <w:pPr>
              <w:pStyle w:val="Compact"/>
              <w:jc w:val="left"/>
            </w:pPr>
            <w:r>
              <w:t xml:space="preserve">Total (QAR)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Monthly supply of essential pharmaceutical reagents and laboratory-grade chemicals for clinical diagnostics</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Includes MSDS documentation per Qatar Ministry of Public Health standards</w:t>
            </w:r>
          </w:p>
        </w:tc>
      </w:tr>
      <w:tr>
        <w:tc>
          <w:tcPr/>
          <w:p>
            <w:pPr>
              <w:pStyle w:val="Compact"/>
              <w:jc w:val="left"/>
            </w:pPr>
            <w:r>
              <w:t xml:space="preserve">2</w:t>
            </w:r>
          </w:p>
        </w:tc>
        <w:tc>
          <w:tcPr/>
          <w:p>
            <w:pPr>
              <w:pStyle w:val="Compact"/>
              <w:jc w:val="left"/>
            </w:pPr>
            <w:r>
              <w:t xml:space="preserve">Professional Chemist consultation – on-site quality assurance audit of pharmacy storage and dispensing protocols</w:t>
            </w:r>
          </w:p>
        </w:tc>
        <w:tc>
          <w:tcPr/>
          <w:p>
            <w:pPr>
              <w:pStyle w:val="Compact"/>
              <w:jc w:val="left"/>
            </w:pPr>
            <w:r>
              <w:t xml:space="preserve">4 visits</w:t>
            </w:r>
          </w:p>
        </w:tc>
        <w:tc>
          <w:tcPr/>
          <w:p>
            <w:pPr>
              <w:pStyle w:val="Compact"/>
              <w:jc w:val="left"/>
            </w:pPr>
            <w:r>
              <w:t xml:space="preserve">1,800.00</w:t>
            </w:r>
          </w:p>
        </w:tc>
        <w:tc>
          <w:tcPr/>
          <w:p>
            <w:pPr>
              <w:pStyle w:val="Compact"/>
              <w:jc w:val="left"/>
            </w:pPr>
            <w:r>
              <w:t xml:space="preserve">7,200.00</w:t>
            </w:r>
          </w:p>
        </w:tc>
        <w:tc>
          <w:tcPr/>
          <w:p>
            <w:pPr>
              <w:pStyle w:val="Compact"/>
              <w:jc w:val="left"/>
            </w:pPr>
            <w:r>
              <w:t xml:space="preserve">Each visit includes a written compliance report within 48 hours</w:t>
            </w:r>
          </w:p>
        </w:tc>
      </w:tr>
      <w:tr>
        <w:tc>
          <w:tcPr/>
          <w:p>
            <w:pPr>
              <w:pStyle w:val="Compact"/>
              <w:jc w:val="left"/>
            </w:pPr>
            <w:r>
              <w:t xml:space="preserve">3</w:t>
            </w:r>
          </w:p>
        </w:tc>
        <w:tc>
          <w:tcPr/>
          <w:p>
            <w:pPr>
              <w:pStyle w:val="Compact"/>
              <w:jc w:val="left"/>
            </w:pPr>
            <w:r>
              <w:t xml:space="preserve">Custom compounding of sterile and non-sterile pharmaceutical preparations as per physician prescriptions</w:t>
            </w:r>
          </w:p>
        </w:tc>
        <w:tc>
          <w:tcPr/>
          <w:p>
            <w:pPr>
              <w:pStyle w:val="Compact"/>
              <w:jc w:val="left"/>
            </w:pPr>
            <w:r>
              <w:t xml:space="preserve">200 units</w:t>
            </w:r>
          </w:p>
        </w:tc>
        <w:tc>
          <w:tcPr/>
          <w:p>
            <w:pPr>
              <w:pStyle w:val="Compact"/>
              <w:jc w:val="left"/>
            </w:pPr>
            <w:r>
              <w:t xml:space="preserve">45.00</w:t>
            </w:r>
          </w:p>
        </w:tc>
        <w:tc>
          <w:tcPr/>
          <w:p>
            <w:pPr>
              <w:pStyle w:val="Compact"/>
              <w:jc w:val="left"/>
            </w:pPr>
            <w:r>
              <w:t xml:space="preserve">9,000.00</w:t>
            </w:r>
          </w:p>
        </w:tc>
        <w:tc>
          <w:tcPr/>
          <w:p>
            <w:pPr>
              <w:pStyle w:val="Compact"/>
              <w:jc w:val="left"/>
            </w:pPr>
            <w:r>
              <w:t xml:space="preserve">Prepared by licensed Chemist under GMP conditions in Doha</w:t>
            </w:r>
          </w:p>
        </w:tc>
      </w:tr>
      <w:tr>
        <w:tc>
          <w:tcPr/>
          <w:p>
            <w:pPr>
              <w:pStyle w:val="Compact"/>
              <w:jc w:val="left"/>
            </w:pPr>
            <w:r>
              <w:t xml:space="preserve">4</w:t>
            </w:r>
          </w:p>
        </w:tc>
        <w:tc>
          <w:tcPr/>
          <w:p>
            <w:pPr>
              <w:pStyle w:val="Compact"/>
              <w:jc w:val="left"/>
            </w:pPr>
            <w:r>
              <w:t xml:space="preserve">Pharmacovigilance monitoring and adverse drug reaction reporting service (quarterly)</w:t>
            </w:r>
          </w:p>
        </w:tc>
        <w:tc>
          <w:tcPr/>
          <w:p>
            <w:pPr>
              <w:pStyle w:val="Compact"/>
              <w:jc w:val="left"/>
            </w:pPr>
            <w:r>
              <w:t xml:space="preserve">1 quarter</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Compliant with Qatar National Pharmacovigilance Centre guidelines</w:t>
            </w:r>
          </w:p>
        </w:tc>
      </w:tr>
      <w:tr>
        <w:tc>
          <w:tcPr/>
          <w:p>
            <w:pPr>
              <w:pStyle w:val="Compact"/>
              <w:jc w:val="left"/>
            </w:pPr>
            <w:r>
              <w:t xml:space="preserve">5</w:t>
            </w:r>
          </w:p>
        </w:tc>
        <w:tc>
          <w:tcPr/>
          <w:p>
            <w:pPr>
              <w:pStyle w:val="Compact"/>
              <w:jc w:val="left"/>
            </w:pPr>
            <w:r>
              <w:t xml:space="preserve">Temperature-controlled cold-chain delivery of biologics and temperature-sensitive medications across Qatar Doha</w:t>
            </w:r>
          </w:p>
        </w:tc>
        <w:tc>
          <w:tcPr/>
          <w:p>
            <w:pPr>
              <w:pStyle w:val="Compact"/>
              <w:jc w:val="left"/>
            </w:pPr>
            <w:r>
              <w:t xml:space="preserve">12 deliveries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GPS-tracked vehicles; 2–8°C maintained; delivery within 4 hours</w:t>
            </w:r>
          </w:p>
        </w:tc>
      </w:tr>
      <w:tr>
        <w:tc>
          <w:tcPr/>
          <w:p>
            <w:pPr>
              <w:pStyle w:val="Compact"/>
              <w:jc w:val="left"/>
            </w:pPr>
            <w:r>
              <w:t xml:space="preserve">6</w:t>
            </w:r>
          </w:p>
        </w:tc>
        <w:tc>
          <w:tcPr/>
          <w:p>
            <w:pPr>
              <w:pStyle w:val="Compact"/>
              <w:jc w:val="left"/>
            </w:pPr>
            <w:r>
              <w:t xml:space="preserve">Staff training programme – "Good Pharmacy Practice in Qatar Doha" (2-day workshop for 15 personnel)</w:t>
            </w:r>
          </w:p>
        </w:tc>
        <w:tc>
          <w:tcPr/>
          <w:p>
            <w:pPr>
              <w:pStyle w:val="Compact"/>
              <w:jc w:val="left"/>
            </w:pPr>
            <w:r>
              <w:t xml:space="preserve">1 session</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Certificates issued; materials in English and Arabic</w:t>
            </w:r>
          </w:p>
        </w:tc>
      </w:tr>
      <w:tr>
        <w:tc>
          <w:tcPr/>
          <w:p>
            <w:pPr>
              <w:pStyle w:val="Compact"/>
              <w:jc w:val="left"/>
            </w:pPr>
            <w:r>
              <w:t xml:space="preserve">7</w:t>
            </w:r>
          </w:p>
        </w:tc>
        <w:tc>
          <w:tcPr/>
          <w:p>
            <w:pPr>
              <w:pStyle w:val="Compact"/>
              <w:jc w:val="left"/>
            </w:pPr>
            <w:r>
              <w:t xml:space="preserve">Annual calibration and certification of pharmaceutical dispensing equipment by accredited Chemist technician</w:t>
            </w:r>
          </w:p>
        </w:tc>
        <w:tc>
          <w:tcPr/>
          <w:p>
            <w:pPr>
              <w:pStyle w:val="Compact"/>
              <w:jc w:val="left"/>
            </w:pPr>
            <w:r>
              <w:t xml:space="preserve">1 service</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Includes NABL-equivalent calibration certificates</w:t>
            </w:r>
          </w:p>
        </w:tc>
      </w:tr>
      <w:tr>
        <w:tc>
          <w:tcPr/>
          <w:p>
            <w:pPr>
              <w:pStyle w:val="Compact"/>
              <w:jc w:val="left"/>
            </w:pPr>
            <w:r>
              <w:t xml:space="preserve">8</w:t>
            </w:r>
          </w:p>
        </w:tc>
        <w:tc>
          <w:tcPr/>
          <w:p>
            <w:pPr>
              <w:pStyle w:val="Compact"/>
              <w:jc w:val="left"/>
            </w:pPr>
            <w:r>
              <w:t xml:space="preserve">Emergency after-hours Chemist on-call support (24/7 hotline for critical formulation queries)</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c>
          <w:tcPr/>
          <w:p>
            <w:pPr>
              <w:pStyle w:val="Compact"/>
              <w:jc w:val="left"/>
            </w:pPr>
            <w:r>
              <w:t xml:space="preserve">Response time under 30 minutes; available 365 days</w:t>
            </w:r>
          </w:p>
        </w:tc>
      </w:tr>
      <w:tr>
        <w:tc>
          <w:tcPr>
            <w:gridSpan w:val="4"/>
          </w:tcPr>
          <w:p>
            <w:pPr>
              <w:pStyle w:val="Compact"/>
              <w:jc w:val="right"/>
            </w:pPr>
            <w:r>
              <w:t xml:space="preserve">Subtotal:</w:t>
            </w:r>
          </w:p>
        </w:tc>
        <w:tc>
          <w:tcPr/>
          <w:p>
            <w:pPr>
              <w:pStyle w:val="Compact"/>
              <w:jc w:val="left"/>
            </w:pPr>
            <w:r>
              <w:t xml:space="preserve">80,400.00</w:t>
            </w:r>
          </w:p>
        </w:tc>
        <w:tc>
          <w:tcPr/>
          <w:p>
            <w:pPr>
              <w:pStyle w:val="Compact"/>
            </w:pPr>
          </w:p>
        </w:tc>
      </w:tr>
      <w:tr>
        <w:tc>
          <w:tcPr>
            <w:gridSpan w:val="4"/>
          </w:tcPr>
          <w:p>
            <w:pPr>
              <w:pStyle w:val="Compact"/>
              <w:jc w:val="right"/>
            </w:pPr>
            <w:r>
              <w:t xml:space="preserve">VAT (5% – Qatar):</w:t>
            </w:r>
          </w:p>
        </w:tc>
        <w:tc>
          <w:tcPr/>
          <w:p>
            <w:pPr>
              <w:pStyle w:val="Compact"/>
              <w:jc w:val="left"/>
            </w:pPr>
            <w:r>
              <w:t xml:space="preserve">4,020.00</w:t>
            </w:r>
          </w:p>
        </w:tc>
        <w:tc>
          <w:tcPr/>
          <w:p>
            <w:pPr>
              <w:pStyle w:val="Compact"/>
            </w:pPr>
          </w:p>
        </w:tc>
      </w:tr>
      <w:tr>
        <w:tc>
          <w:tcPr>
            <w:gridSpan w:val="4"/>
          </w:tcPr>
          <w:p>
            <w:pPr>
              <w:pStyle w:val="Compact"/>
              <w:jc w:val="right"/>
            </w:pPr>
            <w:r>
              <w:t xml:space="preserve">Grand Total (QAR):</w:t>
            </w:r>
          </w:p>
        </w:tc>
        <w:tc>
          <w:tcPr/>
          <w:p>
            <w:pPr>
              <w:pStyle w:val="Compact"/>
              <w:jc w:val="left"/>
            </w:pPr>
            <w:r>
              <w:t xml:space="preserve">84,420.00</w:t>
            </w:r>
          </w:p>
        </w:tc>
        <w:tc>
          <w:tcPr/>
          <w:p>
            <w:pPr>
              <w:pStyle w:val="Compact"/>
            </w:pPr>
          </w:p>
        </w:tc>
      </w:tr>
    </w:tbl>
    <w:bookmarkEnd w:id="22"/>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Any order placed after the expiry date will be subject to re-pricing based on current market conditions in</w:t>
      </w:r>
      <w:r>
        <w:t xml:space="preserve"> </w:t>
      </w:r>
      <w:r>
        <w:rPr>
          <w:bCs/>
          <w:b/>
        </w:rPr>
        <w:t xml:space="preserve">Qatar Doha</w:t>
      </w:r>
      <w:r>
        <w:t xml:space="preserve">.</w:t>
      </w:r>
    </w:p>
    <w:p>
      <w:pPr>
        <w:numPr>
          <w:ilvl w:val="0"/>
          <w:numId w:val="1001"/>
        </w:numPr>
        <w:pStyle w:val="Compact"/>
      </w:pPr>
      <w:r>
        <w:t xml:space="preserve">All</w:t>
      </w:r>
      <w:r>
        <w:t xml:space="preserve"> </w:t>
      </w:r>
      <w:r>
        <w:rPr>
          <w:bCs/>
          <w:b/>
        </w:rPr>
        <w:t xml:space="preserve">Chemist</w:t>
      </w:r>
      <w:r>
        <w:t xml:space="preserve"> </w:t>
      </w:r>
      <w:r>
        <w:t xml:space="preserve">services described herein shall be performed by licensed and registered professionals holding valid permits issued by the Qatar Ministry of Public Health and the Pharmacy Council of Qatar.</w:t>
      </w:r>
    </w:p>
    <w:p>
      <w:pPr>
        <w:numPr>
          <w:ilvl w:val="0"/>
          <w:numId w:val="1001"/>
        </w:numPr>
        <w:pStyle w:val="Compact"/>
      </w:pPr>
      <w:r>
        <w:t xml:space="preserve">Payment terms: 50% advance payment upon acceptance of this Quotation Estimate; the remaining 50% shall be due within fourteen (14) days of service completion or final delivery, whichever is later. Payments shall be made in Qatari Riyal (QAR) via bank transfer to our designated account in Doha.</w:t>
      </w:r>
    </w:p>
    <w:p>
      <w:pPr>
        <w:numPr>
          <w:ilvl w:val="0"/>
          <w:numId w:val="1001"/>
        </w:numPr>
        <w:pStyle w:val="Compact"/>
      </w:pPr>
      <w:r>
        <w:t xml:space="preserve">Delivery of all pharmaceutical products and reagents shall be made to the client's facility located in</w:t>
      </w:r>
      <w:r>
        <w:t xml:space="preserve"> </w:t>
      </w:r>
      <w:r>
        <w:rPr>
          <w:bCs/>
          <w:b/>
        </w:rPr>
        <w:t xml:space="preserve">Qatar Doha</w:t>
      </w:r>
      <w:r>
        <w:t xml:space="preserve"> </w:t>
      </w:r>
      <w:r>
        <w:t xml:space="preserve">at no additional cost. Delivery outside the Doha metropolitan area (including Al Rayyan, Al Wakrah, and Al Khor) may incur a surcharge of QAR 150 per trip, to be confirmed in writing.</w:t>
      </w:r>
    </w:p>
    <w:p>
      <w:pPr>
        <w:numPr>
          <w:ilvl w:val="0"/>
          <w:numId w:val="1001"/>
        </w:numPr>
        <w:pStyle w:val="Compact"/>
      </w:pPr>
      <w:r>
        <w:t xml:space="preserve">All custom-compounded preparations and laboratory reagents shall comply with the Qatar National Drug Authority (QNDA) regulations, the WHO Good Manufacturing Practice guidelines, and applicable ISO 9001:2015 quality management standards.</w:t>
      </w:r>
    </w:p>
    <w:p>
      <w:pPr>
        <w:numPr>
          <w:ilvl w:val="0"/>
          <w:numId w:val="1001"/>
        </w:numPr>
        <w:pStyle w:val="Compact"/>
      </w:pPr>
      <w:r>
        <w:t xml:space="preserve">The</w:t>
      </w:r>
      <w:r>
        <w:t xml:space="preserve"> </w:t>
      </w:r>
      <w:r>
        <w:rPr>
          <w:bCs/>
          <w:b/>
        </w:rPr>
        <w:t xml:space="preserve">Chemist</w:t>
      </w:r>
      <w:r>
        <w:t xml:space="preserve"> </w:t>
      </w:r>
      <w:r>
        <w:t xml:space="preserve">on-call support service (Item 8) includes unlimited telephone consultations but does not include physical on-site visits beyond the four scheduled QA audits listed in Item 2. Additional on-site visits will be billed at QAR 1,800 per visit.</w:t>
      </w:r>
    </w:p>
    <w:p>
      <w:pPr>
        <w:numPr>
          <w:ilvl w:val="0"/>
          <w:numId w:val="1001"/>
        </w:numPr>
        <w:pStyle w:val="Compact"/>
      </w:pPr>
      <w:r>
        <w:t xml:space="preserve">Any changes to the scope of work, quantities, or delivery schedule must be communicated in writing to the project manager at Doha Chemist &amp; Pharmaceutical Services LLC. A revised Quotation Estimate will be issued within five (5) business days of receiving such a request.</w:t>
      </w:r>
    </w:p>
    <w:p>
      <w:pPr>
        <w:numPr>
          <w:ilvl w:val="0"/>
          <w:numId w:val="1001"/>
        </w:numPr>
        <w:pStyle w:val="Compact"/>
      </w:pPr>
      <w:r>
        <w:t xml:space="preserve">This Quotation Estimate does not constitute a binding contract until a formal Purchase Order is issued by the client and countersigned by both parties. All terms herein are subject to the laws of the State of Qatar.</w:t>
      </w:r>
    </w:p>
    <w:p>
      <w:pPr>
        <w:numPr>
          <w:ilvl w:val="0"/>
          <w:numId w:val="1001"/>
        </w:numPr>
        <w:pStyle w:val="Compact"/>
      </w:pPr>
      <w:r>
        <w:t xml:space="preserve">Confidentiality: All patient data, prescription records, and institutional information shared during the course of these</w:t>
      </w:r>
      <w:r>
        <w:t xml:space="preserve"> </w:t>
      </w:r>
      <w:r>
        <w:rPr>
          <w:bCs/>
          <w:b/>
        </w:rPr>
        <w:t xml:space="preserve">Chemist</w:t>
      </w:r>
      <w:r>
        <w:t xml:space="preserve"> </w:t>
      </w:r>
      <w:r>
        <w:t xml:space="preserve">services shall be treated as strictly confidential and shall not be disclosed to any third party without written consent, in accordance with Qatar's data protection regulations.</w:t>
      </w:r>
    </w:p>
    <w:p>
      <w:pPr>
        <w:numPr>
          <w:ilvl w:val="0"/>
          <w:numId w:val="1001"/>
        </w:numPr>
        <w:pStyle w:val="Compact"/>
      </w:pPr>
      <w:r>
        <w:t xml:space="preserve">Dispute resolution: Any disputes arising from this Quotation Estimate or the subsequent service agreement shall be resolved through amicable negotiation. Failing resolution within thirty (30) days, the matter shall be referred to the competent courts in</w:t>
      </w:r>
      <w:r>
        <w:t xml:space="preserve"> </w:t>
      </w:r>
      <w:r>
        <w:rPr>
          <w:bCs/>
          <w:b/>
        </w:rPr>
        <w:t xml:space="preserve">Qatar Doha</w:t>
      </w:r>
      <w:r>
        <w:t xml:space="preserve">.</w:t>
      </w:r>
    </w:p>
    <w:bookmarkEnd w:id="23"/>
    <w:bookmarkStart w:id="24" w:name="acceptance-and-authorization"/>
    <w:p>
      <w:pPr>
        <w:pStyle w:val="Heading3"/>
      </w:pPr>
      <w:r>
        <w:t xml:space="preserve">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and conditions outlined above for the provision of</w:t>
      </w:r>
      <w:r>
        <w:t xml:space="preserve"> </w:t>
      </w:r>
      <w:r>
        <w:rPr>
          <w:bCs/>
          <w:b/>
        </w:rPr>
        <w:t xml:space="preserve">Chemist</w:t>
      </w:r>
      <w:r>
        <w:t xml:space="preserve"> </w:t>
      </w:r>
      <w:r>
        <w:t xml:space="preserve">services and pharmaceutical supply in</w:t>
      </w:r>
      <w:r>
        <w:t xml:space="preserve"> </w:t>
      </w:r>
      <w:r>
        <w:rPr>
          <w:bCs/>
          <w:b/>
        </w:rPr>
        <w:t xml:space="preserve">Qatar Doha</w:t>
      </w:r>
      <w:r>
        <w:t xml:space="preserve">.</w:t>
      </w:r>
    </w:p>
    <w:p>
      <w:pPr>
        <w:pStyle w:val="BodyText"/>
      </w:pPr>
      <w:r>
        <w:rPr>
          <w:bCs/>
          <w:b/>
        </w:rPr>
        <w:t xml:space="preserve">For: Doha Chemist &amp; Pharmaceutical Services LLC</w:t>
      </w:r>
      <w:r>
        <w:br/>
      </w:r>
      <w:r>
        <w:t xml:space="preserve">Name: Mr. Ahmed Al-Thani</w:t>
      </w:r>
      <w:r>
        <w:br/>
      </w:r>
      <w:r>
        <w:t xml:space="preserve">Title: Managing Director &amp; Lead Chemist</w:t>
      </w:r>
      <w:r>
        <w:br/>
      </w:r>
      <w:r>
        <w:t xml:space="preserve">Date: _______________</w:t>
      </w:r>
    </w:p>
    <w:p>
      <w:pPr>
        <w:pStyle w:val="BodyText"/>
      </w:pPr>
      <w:r>
        <w:rPr>
          <w:bCs/>
          <w:b/>
        </w:rPr>
        <w:t xml:space="preserve">For: Al Jazeera Medical Centre</w:t>
      </w:r>
      <w:r>
        <w:br/>
      </w:r>
      <w:r>
        <w:t xml:space="preserve">Name: Dr. Khalid Al-Mansoori</w:t>
      </w:r>
      <w:r>
        <w:br/>
      </w:r>
      <w:r>
        <w:t xml:space="preserve">Title: Chief Medical Officer</w:t>
      </w:r>
      <w:r>
        <w:br/>
      </w:r>
      <w:r>
        <w:t xml:space="preserve">Date: _______________</w:t>
      </w:r>
    </w:p>
    <w:p>
      <w:pPr>
        <w:pStyle w:val="BodyText"/>
      </w:pPr>
      <w:r>
        <w:t xml:space="preserve">This Quotation Estimate (Ref: QTE-2025-QTD-00847) was generated by Doha Chemist &amp; Pharmaceutical Services LLC, a licensed entity operating in Qatar Doha. All prices are inclusive of applicable local taxes unless otherwise stated. For queries regarding this estimate, please contact our client services team at +974-4455-6677 or info@dohachemist.qa. This document is the property of Doha Chemist &amp; Pharmaceutical Services LLC and may not be reproduced without prior written consent.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Qatar Doha</dc:title>
  <dc:creator/>
  <dc:language>en</dc:language>
  <cp:keywords/>
  <dcterms:created xsi:type="dcterms:W3CDTF">2026-10-10T01:40:01Z</dcterms:created>
  <dcterms:modified xsi:type="dcterms:W3CDTF">2026-10-10T01:40:01Z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