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Chemist</w:t>
      </w:r>
      <w:r>
        <w:t xml:space="preserve"> </w:t>
      </w:r>
      <w:r>
        <w:t xml:space="preserve">Services</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quotation-estimate"/>
    <w:p>
      <w:pPr>
        <w:pStyle w:val="Heading1"/>
      </w:pPr>
      <w:r>
        <w:t xml:space="preserve">Quotation Estimate</w:t>
      </w:r>
    </w:p>
    <w:p>
      <w:pPr>
        <w:pStyle w:val="FirstParagraph"/>
      </w:pPr>
      <w:r>
        <w:t xml:space="preserve">Professional Chemist Services &amp; Pharmaceutical Supply</w:t>
      </w:r>
    </w:p>
    <w:p>
      <w:pPr>
        <w:pStyle w:val="BodyText"/>
      </w:pPr>
      <w:r>
        <w:rPr>
          <w:bCs/>
          <w:b/>
        </w:rPr>
        <w:t xml:space="preserve">Prepared for use in Russia Saint Petersburg</w:t>
      </w:r>
    </w:p>
    <w:bookmarkEnd w:id="20"/>
    <w:bookmarkStart w:id="21" w:name="service-provider-chemist"/>
    <w:p>
      <w:pPr>
        <w:pStyle w:val="Heading3"/>
      </w:pPr>
      <w:r>
        <w:t xml:space="preserve">Service Provider (Chemist)</w:t>
      </w:r>
    </w:p>
    <w:p>
      <w:pPr>
        <w:pStyle w:val="FirstParagraph"/>
      </w:pPr>
      <w:r>
        <w:rPr>
          <w:bCs/>
          <w:b/>
        </w:rPr>
        <w:t xml:space="preserve">Dr. Alexander V. Petrov, Ph.D. in Chemistry</w:t>
      </w:r>
      <w:r>
        <w:br/>
      </w:r>
      <w:r>
        <w:t xml:space="preserve">Licensed Chemist &amp; Pharmaceutical Consultant</w:t>
      </w:r>
      <w:r>
        <w:br/>
      </w:r>
      <w:r>
        <w:t xml:space="preserve">42 Nevsky Prospekt, Office 17</w:t>
      </w:r>
      <w:r>
        <w:br/>
      </w:r>
      <w:r>
        <w:t xml:space="preserve">Saint Petersburg, 191025, Russia</w:t>
      </w:r>
      <w:r>
        <w:br/>
      </w:r>
      <w:r>
        <w:t xml:space="preserve">Tel: +7 (812) 555-0142</w:t>
      </w:r>
      <w:r>
        <w:br/>
      </w:r>
      <w:r>
        <w:t xml:space="preserve">Email: a.petrov@spb-chemist.ru</w:t>
      </w:r>
      <w:r>
        <w:br/>
      </w:r>
      <w:r>
        <w:t xml:space="preserve">License No. RU-SPB-CHM-2024-0871</w:t>
      </w:r>
    </w:p>
    <w:bookmarkEnd w:id="21"/>
    <w:bookmarkStart w:id="22" w:name="client-information"/>
    <w:p>
      <w:pPr>
        <w:pStyle w:val="Heading3"/>
      </w:pPr>
      <w:r>
        <w:t xml:space="preserve">Client Information</w:t>
      </w:r>
    </w:p>
    <w:p>
      <w:pPr>
        <w:pStyle w:val="FirstParagraph"/>
      </w:pPr>
      <w:r>
        <w:rPr>
          <w:bCs/>
          <w:b/>
        </w:rPr>
        <w:t xml:space="preserve">OOO "MedPharm Saint Petersburg"</w:t>
      </w:r>
      <w:r>
        <w:br/>
      </w:r>
      <w:r>
        <w:t xml:space="preserve">Attn: Ms. Irina Kovalyova, Procurement Director</w:t>
      </w:r>
      <w:r>
        <w:br/>
      </w:r>
      <w:r>
        <w:t xml:space="preserve">18 Liteyny Avenue, Building 3</w:t>
      </w:r>
      <w:r>
        <w:br/>
      </w:r>
      <w:r>
        <w:t xml:space="preserve">Saint Petersburg, 191011, Russia</w:t>
      </w:r>
      <w:r>
        <w:br/>
      </w:r>
      <w:r>
        <w:t xml:space="preserve">Tel: +7 (812) 333-7890</w:t>
      </w:r>
      <w:r>
        <w:br/>
      </w:r>
      <w:r>
        <w:t xml:space="preserve">Email: procurement@medpharm-spb.ru</w:t>
      </w:r>
      <w:r>
        <w:br/>
      </w:r>
      <w:r>
        <w:t xml:space="preserve">INN: 7805432109</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QE-SPB-2025-00347</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days)</w:t>
            </w:r>
          </w:p>
        </w:tc>
        <w:tc>
          <w:tcPr/>
          <w:p>
            <w:pPr>
              <w:pStyle w:val="Compact"/>
              <w:jc w:val="left"/>
            </w:pPr>
            <w:r>
              <w:t xml:space="preserve">Currency:</w:t>
            </w:r>
          </w:p>
        </w:tc>
        <w:tc>
          <w:tcPr/>
          <w:p>
            <w:pPr>
              <w:pStyle w:val="Compact"/>
              <w:jc w:val="left"/>
            </w:pPr>
            <w:r>
              <w:t xml:space="preserve">Russian Ruble (RUB / &amp;rub;)</w:t>
            </w:r>
          </w:p>
        </w:tc>
      </w:tr>
      <w:tr>
        <w:tc>
          <w:tcPr/>
          <w:p>
            <w:pPr>
              <w:pStyle w:val="Compact"/>
              <w:jc w:val="left"/>
            </w:pPr>
            <w:r>
              <w:t xml:space="preserve">Project Location:</w:t>
            </w:r>
          </w:p>
        </w:tc>
        <w:tc>
          <w:tcPr>
            <w:gridSpan w:val="3"/>
          </w:tcPr>
          <w:p>
            <w:pPr>
              <w:pStyle w:val="Compact"/>
              <w:jc w:val="left"/>
            </w:pPr>
            <w:r>
              <w:t xml:space="preserve">Russia Saint Petersburg — All services rendered within the Saint Petersburg metropolitan area</w:t>
            </w:r>
          </w:p>
        </w:tc>
      </w:tr>
    </w:tbl>
    <w:bookmarkStart w:id="23" w:name="scope-of-quotation-estimate"/>
    <w:p>
      <w:pPr>
        <w:pStyle w:val="Heading2"/>
      </w:pPr>
      <w:r>
        <w:t xml:space="preserve">1. Scope of Quotation Estimate</w:t>
      </w:r>
    </w:p>
    <w:p>
      <w:pPr>
        <w:pStyle w:val="FirstParagraph"/>
      </w:pPr>
      <w:r>
        <w:t xml:space="preserve">This Quotation Estimate is issued by the undersigned Chemist, Dr. Alexander V. Petrov, in relation to the provision of comprehensive chemical analysis, pharmaceutical quality assurance, and specialized consulting services to OOO "MedPharm Saint Petersburg." All services described herein shall be performed in accordance with the regulatory framework of the Russian Federation, specifically the Federal Law No. 61-FZ "On Circulation of Medicines," GOST standards applicable in Russia Saint Petersburg, and the requirements of Roszdravnadzor (Federal Service for Surveillance in Healthcare). This Quotation Estimate covers a twelve-month engagement period commencing upon mutual written acceptance.</w:t>
      </w:r>
    </w:p>
    <w:bookmarkEnd w:id="23"/>
    <w:bookmarkStart w:id="24" w:name="itemized-services-and-pricing"/>
    <w:p>
      <w:pPr>
        <w:pStyle w:val="Heading2"/>
      </w:pPr>
      <w:r>
        <w:t xml:space="preserve">2. Itemized Services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Chemist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(RUB)</w:t>
            </w:r>
          </w:p>
        </w:tc>
        <w:tc>
          <w:tcPr/>
          <w:p>
            <w:pPr>
              <w:pStyle w:val="Compact"/>
              <w:jc w:val="left"/>
            </w:pPr>
            <w:r>
              <w:t xml:space="preserve">Total (RUB)</w:t>
            </w:r>
          </w:p>
        </w:tc>
      </w:tr>
      <w:tr>
        <w:tc>
          <w:tcPr/>
          <w:p>
            <w:pPr>
              <w:pStyle w:val="Compact"/>
              <w:jc w:val="left"/>
            </w:pPr>
            <w:r>
              <w:t xml:space="preserve">01</w:t>
            </w:r>
          </w:p>
        </w:tc>
        <w:tc>
          <w:tcPr/>
          <w:p>
            <w:pPr>
              <w:pStyle w:val="Compact"/>
              <w:jc w:val="left"/>
            </w:pPr>
            <w:r>
              <w:t xml:space="preserve">Full-spectrum chemical composition analysis of pharmaceutical raw materials (HPLC, GC-MS, UV-Vis spectroscopy) conducted at the Chemist's laboratory in Saint Petersburg</w:t>
            </w:r>
          </w:p>
        </w:tc>
        <w:tc>
          <w:tcPr/>
          <w:p>
            <w:pPr>
              <w:pStyle w:val="Compact"/>
              <w:jc w:val="left"/>
            </w:pPr>
            <w:r>
              <w:t xml:space="preserve">120</w:t>
            </w:r>
          </w:p>
        </w:tc>
        <w:tc>
          <w:tcPr/>
          <w:p>
            <w:pPr>
              <w:pStyle w:val="Compact"/>
              <w:jc w:val="left"/>
            </w:pPr>
            <w:r>
              <w:t xml:space="preserve">samples</w:t>
            </w:r>
          </w:p>
        </w:tc>
        <w:tc>
          <w:tcPr/>
          <w:p>
            <w:pPr>
              <w:pStyle w:val="Compact"/>
              <w:jc w:val="left"/>
            </w:pPr>
            <w:r>
              <w:t xml:space="preserve">8,500</w:t>
            </w:r>
          </w:p>
        </w:tc>
        <w:tc>
          <w:tcPr/>
          <w:p>
            <w:pPr>
              <w:pStyle w:val="Compact"/>
              <w:jc w:val="left"/>
            </w:pPr>
            <w:r>
              <w:t xml:space="preserve">1,020,000</w:t>
            </w:r>
          </w:p>
        </w:tc>
      </w:tr>
      <w:tr>
        <w:tc>
          <w:tcPr/>
          <w:p>
            <w:pPr>
              <w:pStyle w:val="Compact"/>
              <w:jc w:val="left"/>
            </w:pPr>
            <w:r>
              <w:t xml:space="preserve">02</w:t>
            </w:r>
          </w:p>
        </w:tc>
        <w:tc>
          <w:tcPr/>
          <w:p>
            <w:pPr>
              <w:pStyle w:val="Compact"/>
              <w:jc w:val="left"/>
            </w:pPr>
            <w:r>
              <w:t xml:space="preserve">Monthly quality assurance audit of the client's production facility in Russia Saint Petersburg, including documentation review, environmental monitoring, and GMP compliance verification by the Chemist</w:t>
            </w:r>
          </w:p>
        </w:tc>
        <w:tc>
          <w:tcPr/>
          <w:p>
            <w:pPr>
              <w:pStyle w:val="Compact"/>
              <w:jc w:val="left"/>
            </w:pPr>
            <w:r>
              <w:t xml:space="preserve">12</w:t>
            </w:r>
          </w:p>
        </w:tc>
        <w:tc>
          <w:tcPr/>
          <w:p>
            <w:pPr>
              <w:pStyle w:val="Compact"/>
              <w:jc w:val="left"/>
            </w:pPr>
            <w:r>
              <w:t xml:space="preserve">visits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03</w:t>
            </w:r>
          </w:p>
        </w:tc>
        <w:tc>
          <w:tcPr/>
          <w:p>
            <w:pPr>
              <w:pStyle w:val="Compact"/>
              <w:jc w:val="left"/>
            </w:pPr>
            <w:r>
              <w:t xml:space="preserve">Formulation development and stability testing for three (3) new pharmaceutical product candidates, performed by the Chemist with full laboratory support</w:t>
            </w:r>
          </w:p>
        </w:tc>
        <w:tc>
          <w:tcPr/>
          <w:p>
            <w:pPr>
              <w:pStyle w:val="Compact"/>
              <w:jc w:val="left"/>
            </w:pPr>
            <w:r>
              <w:t xml:space="preserve">3</w:t>
            </w:r>
          </w:p>
        </w:tc>
        <w:tc>
          <w:tcPr/>
          <w:p>
            <w:pPr>
              <w:pStyle w:val="Compact"/>
              <w:jc w:val="left"/>
            </w:pPr>
            <w:r>
              <w:t xml:space="preserve">formulations</w:t>
            </w:r>
          </w:p>
        </w:tc>
        <w:tc>
          <w:tcPr/>
          <w:p>
            <w:pPr>
              <w:pStyle w:val="Compact"/>
              <w:jc w:val="left"/>
            </w:pPr>
            <w:r>
              <w:t xml:space="preserve">185,000</w:t>
            </w:r>
          </w:p>
        </w:tc>
        <w:tc>
          <w:tcPr/>
          <w:p>
            <w:pPr>
              <w:pStyle w:val="Compact"/>
              <w:jc w:val="left"/>
            </w:pPr>
            <w:r>
              <w:t xml:space="preserve">555,000</w:t>
            </w:r>
          </w:p>
        </w:tc>
      </w:tr>
      <w:tr>
        <w:tc>
          <w:tcPr/>
          <w:p>
            <w:pPr>
              <w:pStyle w:val="Compact"/>
              <w:jc w:val="left"/>
            </w:pPr>
            <w:r>
              <w:t xml:space="preserve">04</w:t>
            </w:r>
          </w:p>
        </w:tc>
        <w:tc>
          <w:tcPr/>
          <w:p>
            <w:pPr>
              <w:pStyle w:val="Compact"/>
              <w:jc w:val="left"/>
            </w:pPr>
            <w:r>
              <w:t xml:space="preserve">Regulatory consulting and technical dossier preparation for registration of finished pharmaceutical products with Roszdravnadzor, provided by the Chemist as subject-matter expert</w:t>
            </w:r>
          </w:p>
        </w:tc>
        <w:tc>
          <w:tcPr/>
          <w:p>
            <w:pPr>
              <w:pStyle w:val="Compact"/>
              <w:jc w:val="left"/>
            </w:pPr>
            <w:r>
              <w:t xml:space="preserve">3</w:t>
            </w:r>
          </w:p>
        </w:tc>
        <w:tc>
          <w:tcPr/>
          <w:p>
            <w:pPr>
              <w:pStyle w:val="Compact"/>
              <w:jc w:val="left"/>
            </w:pPr>
            <w:r>
              <w:t xml:space="preserve">dossiers</w:t>
            </w:r>
          </w:p>
        </w:tc>
        <w:tc>
          <w:tcPr/>
          <w:p>
            <w:pPr>
              <w:pStyle w:val="Compact"/>
              <w:jc w:val="left"/>
            </w:pPr>
            <w:r>
              <w:t xml:space="preserve">95,000</w:t>
            </w:r>
          </w:p>
        </w:tc>
        <w:tc>
          <w:tcPr/>
          <w:p>
            <w:pPr>
              <w:pStyle w:val="Compact"/>
              <w:jc w:val="left"/>
            </w:pPr>
            <w:r>
              <w:t xml:space="preserve">285,000</w:t>
            </w:r>
          </w:p>
        </w:tc>
      </w:tr>
      <w:tr>
        <w:tc>
          <w:tcPr/>
          <w:p>
            <w:pPr>
              <w:pStyle w:val="Compact"/>
              <w:jc w:val="left"/>
            </w:pPr>
            <w:r>
              <w:t xml:space="preserve">05</w:t>
            </w:r>
          </w:p>
        </w:tc>
        <w:tc>
          <w:tcPr/>
          <w:p>
            <w:pPr>
              <w:pStyle w:val="Compact"/>
              <w:jc w:val="left"/>
            </w:pPr>
            <w:r>
              <w:t xml:space="preserve">On-site training sessions for client laboratory personnel on advanced analytical chemistry techniques, delivered by the Chemist at the client's premises in Saint Petersburg</w:t>
            </w:r>
          </w:p>
        </w:tc>
        <w:tc>
          <w:tcPr/>
          <w:p>
            <w:pPr>
              <w:pStyle w:val="Compact"/>
              <w:jc w:val="left"/>
            </w:pPr>
            <w:r>
              <w:t xml:space="preserve">6</w:t>
            </w:r>
          </w:p>
        </w:tc>
        <w:tc>
          <w:tcPr/>
          <w:p>
            <w:pPr>
              <w:pStyle w:val="Compact"/>
              <w:jc w:val="left"/>
            </w:pPr>
            <w:r>
              <w:t xml:space="preserve">days</w:t>
            </w:r>
          </w:p>
        </w:tc>
        <w:tc>
          <w:tcPr/>
          <w:p>
            <w:pPr>
              <w:pStyle w:val="Compact"/>
              <w:jc w:val="left"/>
            </w:pPr>
            <w:r>
              <w:t xml:space="preserve">28,000</w:t>
            </w:r>
          </w:p>
        </w:tc>
        <w:tc>
          <w:tcPr/>
          <w:p>
            <w:pPr>
              <w:pStyle w:val="Compact"/>
              <w:jc w:val="left"/>
            </w:pPr>
            <w:r>
              <w:t xml:space="preserve">168,000</w:t>
            </w:r>
          </w:p>
        </w:tc>
      </w:tr>
      <w:tr>
        <w:tc>
          <w:tcPr/>
          <w:p>
            <w:pPr>
              <w:pStyle w:val="Compact"/>
              <w:jc w:val="left"/>
            </w:pPr>
            <w:r>
              <w:t xml:space="preserve">06</w:t>
            </w:r>
          </w:p>
        </w:tc>
        <w:tc>
          <w:tcPr/>
          <w:p>
            <w:pPr>
              <w:pStyle w:val="Compact"/>
              <w:jc w:val="left"/>
            </w:pPr>
            <w:r>
              <w:t xml:space="preserve">Emergency chemical incident response and contamination assessment services, available on a 24/7 basis throughout Russia Saint Petersburg</w:t>
            </w:r>
          </w:p>
        </w:tc>
        <w:tc>
          <w:tcPr/>
          <w:p>
            <w:pPr>
              <w:pStyle w:val="Compact"/>
              <w:jc w:val="left"/>
            </w:pPr>
            <w:r>
              <w:t xml:space="preserve">1</w:t>
            </w:r>
          </w:p>
        </w:tc>
        <w:tc>
          <w:tcPr/>
          <w:p>
            <w:pPr>
              <w:pStyle w:val="Compact"/>
              <w:jc w:val="left"/>
            </w:pPr>
            <w:r>
              <w:t xml:space="preserve">annual retainer</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07</w:t>
            </w:r>
          </w:p>
        </w:tc>
        <w:tc>
          <w:tcPr/>
          <w:p>
            <w:pPr>
              <w:pStyle w:val="Compact"/>
              <w:jc w:val="left"/>
            </w:pPr>
            <w:r>
              <w:t xml:space="preserve">Supply of certified reference standards and reagents (Grade A, pharmacopoeia-compliant) sourced and verified by the Chemist</w:t>
            </w:r>
          </w:p>
        </w:tc>
        <w:tc>
          <w:tcPr/>
          <w:p>
            <w:pPr>
              <w:pStyle w:val="Compact"/>
              <w:jc w:val="left"/>
            </w:pPr>
            <w:r>
              <w:t xml:space="preserve">1</w:t>
            </w:r>
          </w:p>
        </w:tc>
        <w:tc>
          <w:tcPr/>
          <w:p>
            <w:pPr>
              <w:pStyle w:val="Compact"/>
              <w:jc w:val="left"/>
            </w:pPr>
            <w:r>
              <w:t xml:space="preserve">lot</w:t>
            </w:r>
          </w:p>
        </w:tc>
        <w:tc>
          <w:tcPr/>
          <w:p>
            <w:pPr>
              <w:pStyle w:val="Compact"/>
              <w:jc w:val="left"/>
            </w:pPr>
            <w:r>
              <w:t xml:space="preserve">340,000</w:t>
            </w:r>
          </w:p>
        </w:tc>
        <w:tc>
          <w:tcPr/>
          <w:p>
            <w:pPr>
              <w:pStyle w:val="Compact"/>
              <w:jc w:val="left"/>
            </w:pPr>
            <w:r>
              <w:t xml:space="preserve">340,000</w:t>
            </w:r>
          </w:p>
        </w:tc>
      </w:tr>
      <w:tr>
        <w:tc>
          <w:tcPr>
            <w:gridSpan w:val="5"/>
          </w:tcPr>
          <w:p>
            <w:pPr>
              <w:pStyle w:val="Compact"/>
              <w:jc w:val="right"/>
            </w:pPr>
            <w:r>
              <w:t xml:space="preserve">Subtotal:</w:t>
            </w:r>
          </w:p>
        </w:tc>
        <w:tc>
          <w:tcPr/>
          <w:p>
            <w:pPr>
              <w:pStyle w:val="Compact"/>
              <w:jc w:val="left"/>
            </w:pPr>
            <w:r>
              <w:t xml:space="preserve">3,028,000</w:t>
            </w:r>
          </w:p>
        </w:tc>
      </w:tr>
      <w:tr>
        <w:tc>
          <w:tcPr>
            <w:gridSpan w:val="5"/>
          </w:tcPr>
          <w:p>
            <w:pPr>
              <w:pStyle w:val="Compact"/>
              <w:jc w:val="right"/>
            </w:pPr>
            <w:r>
              <w:t xml:space="preserve">VAT (20% per Russian Tax Code):</w:t>
            </w:r>
          </w:p>
        </w:tc>
        <w:tc>
          <w:tcPr/>
          <w:p>
            <w:pPr>
              <w:pStyle w:val="Compact"/>
              <w:jc w:val="left"/>
            </w:pPr>
            <w:r>
              <w:t xml:space="preserve">605,600</w:t>
            </w:r>
          </w:p>
        </w:tc>
      </w:tr>
      <w:tr>
        <w:tc>
          <w:tcPr>
            <w:gridSpan w:val="5"/>
          </w:tcPr>
          <w:p>
            <w:pPr>
              <w:pStyle w:val="Compact"/>
              <w:jc w:val="right"/>
            </w:pPr>
            <w:r>
              <w:t xml:space="preserve">TOTAL AMOUNT DUE:</w:t>
            </w:r>
          </w:p>
        </w:tc>
        <w:tc>
          <w:tcPr/>
          <w:p>
            <w:pPr>
              <w:pStyle w:val="Compact"/>
              <w:jc w:val="left"/>
            </w:pPr>
            <w:r>
              <w:t xml:space="preserve">3,633,600 RUB</w:t>
            </w:r>
          </w:p>
        </w:tc>
      </w:tr>
    </w:tbl>
    <w:bookmarkEnd w:id="24"/>
    <w:bookmarkStart w:id="25" w:name="X985eb999f0cfcda5f1af1a675bf0b7c2e0a6c64"/>
    <w:p>
      <w:pPr>
        <w:pStyle w:val="Heading2"/>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shall remain valid for thirty (30) calendar days from the date of issue. After the expiry date, the Chemist reserves the right to revise pricing due to fluctuations in reagent costs, exchange rates, or changes in regulatory requirements applicable in Russia Saint Petersburg.</w:t>
      </w:r>
    </w:p>
    <w:p>
      <w:pPr>
        <w:numPr>
          <w:ilvl w:val="0"/>
          <w:numId w:val="1001"/>
        </w:numPr>
        <w:pStyle w:val="Compact"/>
      </w:pPr>
      <w:r>
        <w:rPr>
          <w:bCs/>
          <w:b/>
        </w:rPr>
        <w:t xml:space="preserve">Payment Terms:</w:t>
      </w:r>
      <w:r>
        <w:t xml:space="preserve"> </w:t>
      </w:r>
      <w:r>
        <w:t xml:space="preserve">Payment shall be made in Russian Rubles (RUB) via bank transfer to the Chemist's designated account. A 40% advance payment is due upon contract execution, with the remaining 60% payable in two equal monthly installments. Late payments shall incur a penalty of 0.1% per calendar day as stipulated under Article 317.1 of the Civil Code of the Russian Federation.</w:t>
      </w:r>
    </w:p>
    <w:p>
      <w:pPr>
        <w:numPr>
          <w:ilvl w:val="0"/>
          <w:numId w:val="1001"/>
        </w:numPr>
        <w:pStyle w:val="Compact"/>
      </w:pPr>
      <w:r>
        <w:rPr>
          <w:bCs/>
          <w:b/>
        </w:rPr>
        <w:t xml:space="preserve">Performance Period:</w:t>
      </w:r>
      <w:r>
        <w:t xml:space="preserve"> </w:t>
      </w:r>
      <w:r>
        <w:t xml:space="preserve">All services outlined in this Quotation Estimate shall be rendered over a period of twelve (12) months from the date of the signed service agreement. The Chemist guarantees availability for on-site visits in Saint Petersburg no fewer than two (2) times per month.</w:t>
      </w:r>
    </w:p>
    <w:p>
      <w:pPr>
        <w:numPr>
          <w:ilvl w:val="0"/>
          <w:numId w:val="1001"/>
        </w:numPr>
        <w:pStyle w:val="Compact"/>
      </w:pPr>
      <w:r>
        <w:rPr>
          <w:bCs/>
          <w:b/>
        </w:rPr>
        <w:t xml:space="preserve">Regulatory Compliance:</w:t>
      </w:r>
      <w:r>
        <w:t xml:space="preserve"> </w:t>
      </w:r>
      <w:r>
        <w:t xml:space="preserve">The Chemist warrants that all analytical work, formulation activities, and regulatory submissions shall strictly comply with the Russian Pharmacopoeia (15th edition), GOST R standards, and all directives issued by Roszdravnadzor and the Ministry of Health of the Russian Federation.</w:t>
      </w:r>
    </w:p>
    <w:p>
      <w:pPr>
        <w:numPr>
          <w:ilvl w:val="0"/>
          <w:numId w:val="1001"/>
        </w:numPr>
        <w:pStyle w:val="Compact"/>
      </w:pPr>
      <w:r>
        <w:rPr>
          <w:bCs/>
          <w:b/>
        </w:rPr>
        <w:t xml:space="preserve">Confidentiality:</w:t>
      </w:r>
      <w:r>
        <w:t xml:space="preserve"> </w:t>
      </w:r>
      <w:r>
        <w:t xml:space="preserve">All data, formulations, and proprietary information exchanged between the Chemist and the client shall be treated as strictly confidential in accordance with Federal Law No. 152-FZ "On Personal Data" and the commercial secrecy provisions of the Civil Code of the Russian Federation.</w:t>
      </w:r>
    </w:p>
    <w:p>
      <w:pPr>
        <w:numPr>
          <w:ilvl w:val="0"/>
          <w:numId w:val="1001"/>
        </w:numPr>
        <w:pStyle w:val="Compact"/>
      </w:pPr>
      <w:r>
        <w:rPr>
          <w:bCs/>
          <w:b/>
        </w:rPr>
        <w:t xml:space="preserve">Intellectual Property:</w:t>
      </w:r>
      <w:r>
        <w:t xml:space="preserve"> </w:t>
      </w:r>
      <w:r>
        <w:t xml:space="preserve">All formulations, methods, and technical reports developed by the Chemist specifically for the client under this Quotation Estimate shall become the exclusive property of the client upon full payment. General methodologies and pre-existing knowledge of the Chemist remain the Chemist's intellectual property.</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government sanctions, or public health emergencies affecting operations in Russia Saint Petersburg.</w:t>
      </w:r>
    </w:p>
    <w:p>
      <w:pPr>
        <w:numPr>
          <w:ilvl w:val="0"/>
          <w:numId w:val="1001"/>
        </w:numPr>
        <w:pStyle w:val="Compact"/>
      </w:pPr>
      <w:r>
        <w:rPr>
          <w:bCs/>
          <w:b/>
        </w:rPr>
        <w:t xml:space="preserve">Governing Law:</w:t>
      </w:r>
      <w:r>
        <w:t xml:space="preserve"> </w:t>
      </w:r>
      <w:r>
        <w:t xml:space="preserve">This Quotation Estimate and any resulting contract shall be governed by and construed in accordance with the laws of the Russian Federation. Disputes shall be resolved by the Arbitration Court of Saint Petersburg and the Leningrad Region.</w:t>
      </w:r>
    </w:p>
    <w:p>
      <w:pPr>
        <w:pStyle w:val="FirstParagraph"/>
      </w:pPr>
      <w:r>
        <w:rPr>
          <w:bCs/>
          <w:b/>
        </w:rPr>
        <w:t xml:space="preserve">Important Note:</w:t>
      </w:r>
      <w:r>
        <w:t xml:space="preserve"> </w:t>
      </w:r>
      <w:r>
        <w:t xml:space="preserve">This Quotation Estimate is a non-binding preliminary document. It does not constitute a final contract or offer to contract. A formal Service Agreement must be executed in writing by both parties before any services are commenced. All prices are exclusive of travel expenses exceeding 50 km from the central Saint Petersburg administrative boundary, which shall be billed at cost. The Chemist holds valid professional liability insurance (Policy No. SPB-INS-2025-4412) covering all services described in this Quotation Estimate.</w:t>
      </w:r>
    </w:p>
    <w:bookmarkEnd w:id="25"/>
    <w:bookmarkStart w:id="26" w:name="acceptance-and-authorization"/>
    <w:p>
      <w:pPr>
        <w:pStyle w:val="Heading2"/>
      </w:pPr>
      <w:r>
        <w:t xml:space="preserve">4. Acceptance and Authorization</w:t>
      </w:r>
    </w:p>
    <w:p>
      <w:pPr>
        <w:pStyle w:val="FirstParagraph"/>
      </w:pPr>
      <w:r>
        <w:t xml:space="preserve">By signing below, both parties acknowledge that they have read, understood, and agree to the terms set forth in this Quotation Estimate. This document, once countersigned, shall serve as the basis for the preparation of the definitive Service Agreement between the Chemist and the Client.</w:t>
      </w:r>
    </w:p>
    <w:p>
      <w:pPr>
        <w:pStyle w:val="BodyText"/>
      </w:pPr>
      <w:r>
        <w:rPr>
          <w:bCs/>
          <w:b/>
        </w:rPr>
        <w:t xml:space="preserve">For the Chemist (Service Provider):</w:t>
      </w:r>
    </w:p>
    <w:p>
      <w:pPr>
        <w:pStyle w:val="BodyText"/>
      </w:pPr>
      <w:r>
        <w:t xml:space="preserve">Dr. Alexander V. Petrov, Ph.D.</w:t>
      </w:r>
      <w:r>
        <w:br/>
      </w:r>
      <w:r>
        <w:t xml:space="preserve">Licensed Chemist, Saint Petersburg, Russia</w:t>
      </w:r>
      <w:r>
        <w:br/>
      </w:r>
      <w:r>
        <w:t xml:space="preserve">Date: _______________</w:t>
      </w:r>
    </w:p>
    <w:p>
      <w:pPr>
        <w:pStyle w:val="BodyText"/>
      </w:pPr>
      <w:r>
        <w:rPr>
          <w:bCs/>
          <w:b/>
        </w:rPr>
        <w:t xml:space="preserve">For the Client (OOO "MedPharm Saint Petersburg"):</w:t>
      </w:r>
    </w:p>
    <w:p>
      <w:pPr>
        <w:pStyle w:val="BodyText"/>
      </w:pPr>
      <w:r>
        <w:t xml:space="preserve">Irina Kovalyova, Procurement Director</w:t>
      </w:r>
      <w:r>
        <w:br/>
      </w:r>
      <w:r>
        <w:t xml:space="preserve">Authorized Signatory</w:t>
      </w:r>
      <w:r>
        <w:br/>
      </w:r>
      <w:r>
        <w:t xml:space="preserve">Date: _______________</w:t>
      </w:r>
    </w:p>
    <w:p>
      <w:pPr>
        <w:pStyle w:val="BodyText"/>
      </w:pPr>
      <w:r>
        <w:t xml:space="preserve">Quotation Estimate No. QE-SPB-2025-00347 | Issued in Saint Petersburg, Russia | Page 1 of 1</w:t>
      </w:r>
    </w:p>
    <w:p>
      <w:pPr>
        <w:pStyle w:val="BodyText"/>
      </w:pPr>
      <w:r>
        <w:t xml:space="preserve">This document was prepared by a licensed Chemist operating in Russia Saint Petersburg in compliance with all applicable federal and municipal regulations.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Chemist Services - Russia Saint Petersburg</dc:title>
  <dc:creator/>
  <dc:language>en</dc:language>
  <cp:keywords/>
  <dcterms:created xsi:type="dcterms:W3CDTF">2026-10-10T04:26:41Z</dcterms:created>
  <dcterms:modified xsi:type="dcterms:W3CDTF">2026-10-10T04:26:41Z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