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rPr>
          <w:bCs/>
          <w:b/>
        </w:rPr>
        <w:t xml:space="preserve">Al-Riyadh Chemist &amp; Pharmaceutical Services Co., Ltd.</w:t>
      </w:r>
    </w:p>
    <w:p>
      <w:pPr>
        <w:pStyle w:val="BodyText"/>
      </w:pPr>
      <w:r>
        <w:t xml:space="preserve">King Fahd Road, Al Olaya District, Riyadh 12212, Saudi Arabia</w:t>
      </w:r>
    </w:p>
    <w:p>
      <w:pPr>
        <w:pStyle w:val="BodyText"/>
      </w:pPr>
      <w:r>
        <w:t xml:space="preserve">CR No. 1010456789 | VAT No. 310123456700003</w:t>
      </w:r>
    </w:p>
    <w:p>
      <w:pPr>
        <w:pStyle w:val="BodyText"/>
      </w:pPr>
      <w:r>
        <w:t xml:space="preserve">Phone: +966 11 456 7890 | Email: quotations@alriyadhchemist.sa</w:t>
      </w:r>
    </w:p>
    <w:bookmarkEnd w:id="20"/>
    <w:p>
      <w:pPr>
        <w:pStyle w:val="BodyText"/>
      </w:pPr>
      <w:r>
        <w:rPr>
          <w:bCs/>
          <w:b/>
        </w:rPr>
        <w:t xml:space="preserve">Quotation Estimate No.:</w:t>
      </w:r>
      <w:r>
        <w:t xml:space="preserve"> </w:t>
      </w:r>
      <w:r>
        <w:t xml:space="preserve">QE-2025-04872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Ministry of Health – Riyadh Regional Office</w:t>
      </w:r>
      <w:r>
        <w:br/>
      </w:r>
      <w:r>
        <w:t xml:space="preserve">P.O. Box 34567, Riyadh 11321, Saudi Arabia</w:t>
      </w:r>
      <w:r>
        <w:br/>
      </w:r>
      <w:r>
        <w:t xml:space="preserve">Attn: Dr. Khalid Al-Harbi, Procurement Director</w:t>
      </w:r>
    </w:p>
    <w:p>
      <w:pPr>
        <w:pStyle w:val="BodyText"/>
      </w:pPr>
      <w:r>
        <w:t xml:space="preserve">Dear Dr. Al-Harbi,</w:t>
      </w:r>
    </w:p>
    <w:p>
      <w:pPr>
        <w:pStyle w:val="BodyText"/>
      </w:pPr>
      <w:r>
        <w:t xml:space="preserve">Thank you for the opportunity to submit this</w:t>
      </w:r>
      <w:r>
        <w:t xml:space="preserve"> </w:t>
      </w:r>
      <w:r>
        <w:t xml:space="preserve">Quotation Estimate</w:t>
      </w:r>
      <w:r>
        <w:t xml:space="preserve"> </w:t>
      </w:r>
      <w:r>
        <w:t xml:space="preserve">for comprehensive</w:t>
      </w:r>
      <w:r>
        <w:t xml:space="preserve"> </w:t>
      </w:r>
      <w:r>
        <w:t xml:space="preserve">Chemist</w:t>
      </w:r>
      <w:r>
        <w:t xml:space="preserve"> </w:t>
      </w:r>
      <w:r>
        <w:t xml:space="preserve">and pharmaceutical supply services in</w:t>
      </w:r>
      <w:r>
        <w:t xml:space="preserve"> </w:t>
      </w:r>
      <w:r>
        <w:t xml:space="preserve">Saudi Arabia Riyadh</w:t>
      </w:r>
      <w:r>
        <w:t xml:space="preserve">. Al-Riyadh Chemist &amp; Pharmaceutical Services Co., Ltd. is a fully licensed and regulated entity operating under the Saudi Food and Drug Authority (SFDA) and the Ministry of Health. We are pleased to present the following detailed cost breakdown for the procurement of pharmaceutical products, laboratory reagents, and professional dispensing services as outlined in your Request for Quotation (RFQ) reference number MOH-RYD-2025-1142.</w:t>
      </w:r>
    </w:p>
    <w:p>
      <w:pPr>
        <w:pStyle w:val="BodyText"/>
      </w:pPr>
      <w:r>
        <w:t xml:space="preserve">1. Scope of Supply – Chemist Products &amp; Services</w:t>
      </w:r>
    </w:p>
    <w:p>
      <w:pPr>
        <w:pStyle w:val="BodyText"/>
      </w:pPr>
      <w:r>
        <w:t xml:space="preserve">This</w:t>
      </w:r>
      <w:r>
        <w:t xml:space="preserve"> </w:t>
      </w:r>
      <w:r>
        <w:t xml:space="preserve">Quotation Estimate</w:t>
      </w:r>
      <w:r>
        <w:t xml:space="preserve"> </w:t>
      </w:r>
      <w:r>
        <w:t xml:space="preserve">covers the supply, delivery, and quality assurance of pharmaceutical and laboratory products to the designated facility in</w:t>
      </w:r>
      <w:r>
        <w:t xml:space="preserve"> </w:t>
      </w:r>
      <w:r>
        <w:t xml:space="preserve">Saudi Arabia Riyadh</w:t>
      </w:r>
      <w:r>
        <w:t xml:space="preserve">. All items listed below comply with SFDA registration requirements, GMP standards, and the Saudi Pharmacopoeia. Our</w:t>
      </w:r>
      <w:r>
        <w:t xml:space="preserve"> </w:t>
      </w:r>
      <w:r>
        <w:t xml:space="preserve">Chemist</w:t>
      </w:r>
      <w:r>
        <w:t xml:space="preserve"> </w:t>
      </w:r>
      <w:r>
        <w:t xml:space="preserve">team, comprising licensed pharmacists and qualified technicians, will oversee the entire supply chain from warehouse to point of use.</w:t>
      </w:r>
    </w:p>
    <w:p>
      <w:pPr>
        <w:pStyle w:val="BodyText"/>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Essential Pharmaceutical Formulations (Amoxicillin 500mg, Paracetamol 500mg, Ibuprofen 400mg) – SFDA Registered</w:t>
            </w:r>
          </w:p>
        </w:tc>
        <w:tc>
          <w:tcPr/>
          <w:p>
            <w:pPr>
              <w:pStyle w:val="Compact"/>
              <w:jc w:val="left"/>
            </w:pPr>
            <w:r>
              <w:t xml:space="preserve">Box (100 tabs)</w:t>
            </w:r>
          </w:p>
        </w:tc>
        <w:tc>
          <w:tcPr/>
          <w:p>
            <w:pPr>
              <w:pStyle w:val="Compact"/>
              <w:jc w:val="left"/>
            </w:pPr>
            <w:r>
              <w:t xml:space="preserve">500</w:t>
            </w:r>
          </w:p>
        </w:tc>
        <w:tc>
          <w:tcPr/>
          <w:p>
            <w:pPr>
              <w:pStyle w:val="Compact"/>
              <w:jc w:val="left"/>
            </w:pPr>
            <w:r>
              <w:t xml:space="preserve">185.00</w:t>
            </w:r>
          </w:p>
        </w:tc>
        <w:tc>
          <w:tcPr/>
          <w:p>
            <w:pPr>
              <w:pStyle w:val="Compact"/>
              <w:jc w:val="left"/>
            </w:pPr>
            <w:r>
              <w:t xml:space="preserve">92,500.00</w:t>
            </w:r>
          </w:p>
        </w:tc>
      </w:tr>
      <w:tr>
        <w:tc>
          <w:tcPr/>
          <w:p>
            <w:pPr>
              <w:pStyle w:val="Compact"/>
              <w:jc w:val="left"/>
            </w:pPr>
            <w:r>
              <w:t xml:space="preserve">02</w:t>
            </w:r>
          </w:p>
        </w:tc>
        <w:tc>
          <w:tcPr/>
          <w:p>
            <w:pPr>
              <w:pStyle w:val="Compact"/>
              <w:jc w:val="left"/>
            </w:pPr>
            <w:r>
              <w:t xml:space="preserve">Antibiotic &amp; Antifungal IV Solutions (Ceftriaxone 1g, Fluconazole 200mg) – Hospital Grade</w:t>
            </w:r>
          </w:p>
        </w:tc>
        <w:tc>
          <w:tcPr/>
          <w:p>
            <w:pPr>
              <w:pStyle w:val="Compact"/>
              <w:jc w:val="left"/>
            </w:pPr>
            <w:r>
              <w:t xml:space="preserve">Vial</w:t>
            </w:r>
          </w:p>
        </w:tc>
        <w:tc>
          <w:tcPr/>
          <w:p>
            <w:pPr>
              <w:pStyle w:val="Compact"/>
              <w:jc w:val="left"/>
            </w:pPr>
            <w:r>
              <w:t xml:space="preserve">2,000</w:t>
            </w:r>
          </w:p>
        </w:tc>
        <w:tc>
          <w:tcPr/>
          <w:p>
            <w:pPr>
              <w:pStyle w:val="Compact"/>
              <w:jc w:val="left"/>
            </w:pPr>
            <w:r>
              <w:t xml:space="preserve">42.75</w:t>
            </w:r>
          </w:p>
        </w:tc>
        <w:tc>
          <w:tcPr/>
          <w:p>
            <w:pPr>
              <w:pStyle w:val="Compact"/>
              <w:jc w:val="left"/>
            </w:pPr>
            <w:r>
              <w:t xml:space="preserve">85,500.00</w:t>
            </w:r>
          </w:p>
        </w:tc>
      </w:tr>
      <w:tr>
        <w:tc>
          <w:tcPr/>
          <w:p>
            <w:pPr>
              <w:pStyle w:val="Compact"/>
              <w:jc w:val="left"/>
            </w:pPr>
            <w:r>
              <w:t xml:space="preserve">03</w:t>
            </w:r>
          </w:p>
        </w:tc>
        <w:tc>
          <w:tcPr/>
          <w:p>
            <w:pPr>
              <w:pStyle w:val="Compact"/>
              <w:jc w:val="left"/>
            </w:pPr>
            <w:r>
              <w:t xml:space="preserve">Laboratory Reagent Kits (Complete Blood Count, Liver Function, Renal Panel) – For Riyadh Central Lab</w:t>
            </w:r>
          </w:p>
        </w:tc>
        <w:tc>
          <w:tcPr/>
          <w:p>
            <w:pPr>
              <w:pStyle w:val="Compact"/>
              <w:jc w:val="left"/>
            </w:pPr>
            <w:r>
              <w:t xml:space="preserve">Kit</w:t>
            </w:r>
          </w:p>
        </w:tc>
        <w:tc>
          <w:tcPr/>
          <w:p>
            <w:pPr>
              <w:pStyle w:val="Compact"/>
              <w:jc w:val="left"/>
            </w:pPr>
            <w:r>
              <w:t xml:space="preserve">300</w:t>
            </w:r>
          </w:p>
        </w:tc>
        <w:tc>
          <w:tcPr/>
          <w:p>
            <w:pPr>
              <w:pStyle w:val="Compact"/>
              <w:jc w:val="left"/>
            </w:pPr>
            <w:r>
              <w:t xml:space="preserve">620.00</w:t>
            </w:r>
          </w:p>
        </w:tc>
        <w:tc>
          <w:tcPr/>
          <w:p>
            <w:pPr>
              <w:pStyle w:val="Compact"/>
              <w:jc w:val="left"/>
            </w:pPr>
            <w:r>
              <w:t xml:space="preserve">186,000.00</w:t>
            </w:r>
          </w:p>
        </w:tc>
      </w:tr>
      <w:tr>
        <w:tc>
          <w:tcPr/>
          <w:p>
            <w:pPr>
              <w:pStyle w:val="Compact"/>
              <w:jc w:val="left"/>
            </w:pPr>
            <w:r>
              <w:t xml:space="preserve">04</w:t>
            </w:r>
          </w:p>
        </w:tc>
        <w:tc>
          <w:tcPr/>
          <w:p>
            <w:pPr>
              <w:pStyle w:val="Compact"/>
              <w:jc w:val="left"/>
            </w:pPr>
            <w:r>
              <w:t xml:space="preserve">Personal Protective Equipment (Nitrile Gloves, Surgical Masks, Gowns) – ISO Certified</w:t>
            </w:r>
          </w:p>
        </w:tc>
        <w:tc>
          <w:tcPr/>
          <w:p>
            <w:pPr>
              <w:pStyle w:val="Compact"/>
              <w:jc w:val="left"/>
            </w:pPr>
            <w:r>
              <w:t xml:space="preserve">Lot</w:t>
            </w:r>
          </w:p>
        </w:tc>
        <w:tc>
          <w:tcPr/>
          <w:p>
            <w:pPr>
              <w:pStyle w:val="Compact"/>
              <w:jc w:val="left"/>
            </w:pPr>
            <w:r>
              <w:t xml:space="preserve">1,200</w:t>
            </w:r>
          </w:p>
        </w:tc>
        <w:tc>
          <w:tcPr/>
          <w:p>
            <w:pPr>
              <w:pStyle w:val="Compact"/>
              <w:jc w:val="left"/>
            </w:pPr>
            <w:r>
              <w:t xml:space="preserve">38.50</w:t>
            </w:r>
          </w:p>
        </w:tc>
        <w:tc>
          <w:tcPr/>
          <w:p>
            <w:pPr>
              <w:pStyle w:val="Compact"/>
              <w:jc w:val="left"/>
            </w:pPr>
            <w:r>
              <w:t xml:space="preserve">46,200.00</w:t>
            </w:r>
          </w:p>
        </w:tc>
      </w:tr>
      <w:tr>
        <w:tc>
          <w:tcPr/>
          <w:p>
            <w:pPr>
              <w:pStyle w:val="Compact"/>
              <w:jc w:val="left"/>
            </w:pPr>
            <w:r>
              <w:t xml:space="preserve">05</w:t>
            </w:r>
          </w:p>
        </w:tc>
        <w:tc>
          <w:tcPr/>
          <w:p>
            <w:pPr>
              <w:pStyle w:val="Compact"/>
              <w:jc w:val="left"/>
            </w:pPr>
            <w:r>
              <w:t xml:space="preserve">Pharmaceutical Cold Chain Storage &amp; Transport (Vaccine-Grade Refrigeration Units)</w:t>
            </w:r>
          </w:p>
        </w:tc>
        <w:tc>
          <w:tcPr/>
          <w:p>
            <w:pPr>
              <w:pStyle w:val="Compact"/>
              <w:jc w:val="left"/>
            </w:pPr>
            <w:r>
              <w:t xml:space="preserve">Unit</w:t>
            </w:r>
          </w:p>
        </w:tc>
        <w:tc>
          <w:tcPr/>
          <w:p>
            <w:pPr>
              <w:pStyle w:val="Compact"/>
              <w:jc w:val="left"/>
            </w:pPr>
            <w:r>
              <w:t xml:space="preserve">8</w:t>
            </w:r>
          </w:p>
        </w:tc>
        <w:tc>
          <w:tcPr/>
          <w:p>
            <w:pPr>
              <w:pStyle w:val="Compact"/>
              <w:jc w:val="left"/>
            </w:pPr>
            <w:r>
              <w:t xml:space="preserve">12,400.00</w:t>
            </w:r>
          </w:p>
        </w:tc>
        <w:tc>
          <w:tcPr/>
          <w:p>
            <w:pPr>
              <w:pStyle w:val="Compact"/>
              <w:jc w:val="left"/>
            </w:pPr>
            <w:r>
              <w:t xml:space="preserve">99,200.00</w:t>
            </w:r>
          </w:p>
        </w:tc>
      </w:tr>
      <w:tr>
        <w:tc>
          <w:tcPr/>
          <w:p>
            <w:pPr>
              <w:pStyle w:val="Compact"/>
              <w:jc w:val="left"/>
            </w:pPr>
            <w:r>
              <w:t xml:space="preserve">06</w:t>
            </w:r>
          </w:p>
        </w:tc>
        <w:tc>
          <w:tcPr/>
          <w:p>
            <w:pPr>
              <w:pStyle w:val="Compact"/>
              <w:jc w:val="left"/>
            </w:pPr>
            <w:r>
              <w:t xml:space="preserve">Licensed Chemist Dispensing &amp; Patient Counseling Services (Monthly Retainer – 3 Pharmacists)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18,750.00</w:t>
            </w:r>
          </w:p>
        </w:tc>
        <w:tc>
          <w:tcPr/>
          <w:p>
            <w:pPr>
              <w:pStyle w:val="Compact"/>
              <w:jc w:val="left"/>
            </w:pPr>
            <w:r>
              <w:t xml:space="preserve">225,000.00</w:t>
            </w:r>
          </w:p>
        </w:tc>
      </w:tr>
      <w:tr>
        <w:tc>
          <w:tcPr/>
          <w:p>
            <w:pPr>
              <w:pStyle w:val="Compact"/>
              <w:jc w:val="left"/>
            </w:pPr>
            <w:r>
              <w:t xml:space="preserve">07</w:t>
            </w:r>
          </w:p>
        </w:tc>
        <w:tc>
          <w:tcPr/>
          <w:p>
            <w:pPr>
              <w:pStyle w:val="Compact"/>
              <w:jc w:val="left"/>
            </w:pPr>
            <w:r>
              <w:t xml:space="preserve">Pharmaceutical Inventory Management Software License &amp; Integration (SFDA-Compliant)</w:t>
            </w:r>
          </w:p>
        </w:tc>
        <w:tc>
          <w:tcPr/>
          <w:p>
            <w:pPr>
              <w:pStyle w:val="Compact"/>
              <w:jc w:val="left"/>
            </w:pPr>
            <w:r>
              <w:t xml:space="preserve">License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08</w:t>
            </w:r>
          </w:p>
        </w:tc>
        <w:tc>
          <w:tcPr/>
          <w:p>
            <w:pPr>
              <w:pStyle w:val="Compact"/>
              <w:jc w:val="left"/>
            </w:pPr>
            <w:r>
              <w:t xml:space="preserve">Quality Assurance &amp; Regulatory Compliance Auditing (Quarterly – SFDA &amp; WHO Standards)</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15,800.00</w:t>
            </w:r>
          </w:p>
        </w:tc>
        <w:tc>
          <w:tcPr/>
          <w:p>
            <w:pPr>
              <w:pStyle w:val="Compact"/>
              <w:jc w:val="left"/>
            </w:pPr>
            <w:r>
              <w:t xml:space="preserve">63,200.00</w:t>
            </w:r>
          </w:p>
        </w:tc>
      </w:tr>
      <w:tr>
        <w:tc>
          <w:tcPr>
            <w:gridSpan w:val="5"/>
          </w:tcPr>
          <w:p>
            <w:pPr>
              <w:pStyle w:val="Compact"/>
              <w:jc w:val="left"/>
            </w:pPr>
            <w:r>
              <w:t xml:space="preserve">Subtotal</w:t>
            </w:r>
          </w:p>
        </w:tc>
        <w:tc>
          <w:tcPr/>
          <w:p>
            <w:pPr>
              <w:pStyle w:val="Compact"/>
              <w:jc w:val="left"/>
            </w:pPr>
            <w:r>
              <w:t xml:space="preserve">842,600.00</w:t>
            </w:r>
          </w:p>
        </w:tc>
      </w:tr>
      <w:tr>
        <w:tc>
          <w:tcPr>
            <w:gridSpan w:val="5"/>
          </w:tcPr>
          <w:p>
            <w:pPr>
              <w:pStyle w:val="Compact"/>
              <w:jc w:val="left"/>
            </w:pPr>
            <w:r>
              <w:t xml:space="preserve">VAT (15%) – Saudi Arabia</w:t>
            </w:r>
          </w:p>
        </w:tc>
        <w:tc>
          <w:tcPr/>
          <w:p>
            <w:pPr>
              <w:pStyle w:val="Compact"/>
              <w:jc w:val="left"/>
            </w:pPr>
            <w:r>
              <w:t xml:space="preserve">126,390.00</w:t>
            </w:r>
          </w:p>
        </w:tc>
      </w:tr>
      <w:tr>
        <w:tc>
          <w:tcPr>
            <w:gridSpan w:val="5"/>
          </w:tcPr>
          <w:p>
            <w:pPr>
              <w:pStyle w:val="Compact"/>
              <w:jc w:val="left"/>
            </w:pPr>
            <w:r>
              <w:rPr>
                <w:bCs/>
                <w:b/>
              </w:rPr>
              <w:t xml:space="preserve">Grand Total (SAR)</w:t>
            </w:r>
          </w:p>
        </w:tc>
        <w:tc>
          <w:tcPr/>
          <w:p>
            <w:pPr>
              <w:pStyle w:val="Compact"/>
              <w:jc w:val="left"/>
            </w:pPr>
            <w:r>
              <w:rPr>
                <w:bCs/>
                <w:b/>
              </w:rPr>
              <w:t xml:space="preserve">968,990.00</w:t>
            </w:r>
          </w:p>
        </w:tc>
      </w:tr>
    </w:tbl>
    <w:p>
      <w:pPr>
        <w:pStyle w:val="BodyText"/>
      </w:pPr>
      <w:r>
        <w:t xml:space="preserve">3. Delivery &amp; Logistics – Saudi Arabia Riyadh</w:t>
      </w:r>
    </w:p>
    <w:p>
      <w:pPr>
        <w:pStyle w:val="BodyText"/>
      </w:pPr>
      <w:r>
        <w:t xml:space="preserve">All pharmaceutical and laboratory products included in this</w:t>
      </w:r>
      <w:r>
        <w:t xml:space="preserve"> </w:t>
      </w:r>
      <w:r>
        <w:t xml:space="preserve">Quotation Estimate</w:t>
      </w:r>
      <w:r>
        <w:t xml:space="preserve"> </w:t>
      </w:r>
      <w:r>
        <w:t xml:space="preserve">will be delivered to the designated facility in</w:t>
      </w:r>
      <w:r>
        <w:t xml:space="preserve"> </w:t>
      </w:r>
      <w:r>
        <w:t xml:space="preserve">Saudi Arabia Riyadh</w:t>
      </w:r>
      <w:r>
        <w:t xml:space="preserve"> </w:t>
      </w:r>
      <w:r>
        <w:t xml:space="preserve">within fourteen (14) calendar days from the date of purchase order confirmation. Our dedicated</w:t>
      </w:r>
      <w:r>
        <w:t xml:space="preserve"> </w:t>
      </w:r>
      <w:r>
        <w:t xml:space="preserve">Chemist</w:t>
      </w:r>
      <w:r>
        <w:t xml:space="preserve"> </w:t>
      </w:r>
      <w:r>
        <w:t xml:space="preserve">logistics team operates temperature-controlled vehicles compliant with SFDA cold chain regulations. Delivery to all districts within Riyadh, including Al Olaya, Al Malqa, Al Yasmin, and Al Narjis, is included at no additional cost. For facilities located in the extended Riyadh metropolitan area, a nominal surcharge of 2.5% may apply, which will be communicated prior to dispatch.</w:t>
      </w:r>
    </w:p>
    <w:p>
      <w:pPr>
        <w:pStyle w:val="BodyText"/>
      </w:pPr>
      <w:r>
        <w:t xml:space="preserve">4. Terms &amp;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days from the date of issue. Prices are subject to revision based on SFDA regulatory changes or supplier cost adjustments in the Saudi Arabian market.</w:t>
      </w:r>
    </w:p>
    <w:p>
      <w:pPr>
        <w:numPr>
          <w:ilvl w:val="0"/>
          <w:numId w:val="1001"/>
        </w:numPr>
        <w:pStyle w:val="Compact"/>
      </w:pPr>
      <w:r>
        <w:rPr>
          <w:bCs/>
          <w:b/>
        </w:rPr>
        <w:t xml:space="preserve">Payment Terms:</w:t>
      </w:r>
      <w:r>
        <w:t xml:space="preserve"> </w:t>
      </w:r>
      <w:r>
        <w:t xml:space="preserve">40% advance payment upon acceptance of this</w:t>
      </w:r>
      <w:r>
        <w:t xml:space="preserve"> </w:t>
      </w:r>
      <w:r>
        <w:t xml:space="preserve">Quotation Estimate</w:t>
      </w:r>
      <w:r>
        <w:t xml:space="preserve">, 50% upon delivery confirmation, and 10% upon final acceptance and quality sign-off by the receiving</w:t>
      </w:r>
      <w:r>
        <w:t xml:space="preserve"> </w:t>
      </w:r>
      <w:r>
        <w:t xml:space="preserve">Chemist</w:t>
      </w:r>
      <w:r>
        <w:t xml:space="preserve"> </w:t>
      </w:r>
      <w:r>
        <w:t xml:space="preserve">officer.</w:t>
      </w:r>
    </w:p>
    <w:p>
      <w:pPr>
        <w:numPr>
          <w:ilvl w:val="0"/>
          <w:numId w:val="1001"/>
        </w:numPr>
        <w:pStyle w:val="Compact"/>
      </w:pPr>
      <w:r>
        <w:rPr>
          <w:bCs/>
          <w:b/>
        </w:rPr>
        <w:t xml:space="preserve">Warranty:</w:t>
      </w:r>
      <w:r>
        <w:t xml:space="preserve"> </w:t>
      </w:r>
      <w:r>
        <w:t xml:space="preserve">All pharmaceutical products carry a minimum shelf life of eighteen (18) months from the date of delivery. Any product found to be below the stated shelf life will be replaced at no cost.</w:t>
      </w:r>
    </w:p>
    <w:p>
      <w:pPr>
        <w:numPr>
          <w:ilvl w:val="0"/>
          <w:numId w:val="1001"/>
        </w:numPr>
        <w:pStyle w:val="Compact"/>
      </w:pPr>
      <w:r>
        <w:rPr>
          <w:bCs/>
          <w:b/>
        </w:rPr>
        <w:t xml:space="preserve">Regulatory Compliance:</w:t>
      </w:r>
      <w:r>
        <w:t xml:space="preserve"> </w:t>
      </w:r>
      <w:r>
        <w:t xml:space="preserve">All items are registered with the Saudi Food and Drug Authority (SFDA). Our</w:t>
      </w:r>
      <w:r>
        <w:t xml:space="preserve"> </w:t>
      </w:r>
      <w:r>
        <w:t xml:space="preserve">Chemist</w:t>
      </w:r>
      <w:r>
        <w:t xml:space="preserve"> </w:t>
      </w:r>
      <w:r>
        <w:t xml:space="preserve">operations in</w:t>
      </w:r>
      <w:r>
        <w:t xml:space="preserve"> </w:t>
      </w:r>
      <w:r>
        <w:t xml:space="preserve">Saudi Arabia Riyadh</w:t>
      </w:r>
      <w:r>
        <w:t xml:space="preserve"> </w:t>
      </w:r>
      <w:r>
        <w:t xml:space="preserve">are conducted in full compliance with the Saudi Pharmacopoeia, WHO Good Distribution Practice (GDP), and the Ministry of Health regulations.</w:t>
      </w:r>
    </w:p>
    <w:p>
      <w:pPr>
        <w:numPr>
          <w:ilvl w:val="0"/>
          <w:numId w:val="1001"/>
        </w:numPr>
        <w:pStyle w:val="Compact"/>
      </w:pPr>
      <w:r>
        <w:rPr>
          <w:bCs/>
          <w:b/>
        </w:rPr>
        <w:t xml:space="preserve">Waste &amp; Disposal:</w:t>
      </w:r>
      <w:r>
        <w:t xml:space="preserve"> </w:t>
      </w:r>
      <w:r>
        <w:t xml:space="preserve">Proper pharmaceutical waste disposal in accordance with Saudi environmental regulations is included in the service scope.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government-mandated closures, natural disasters, or supply chain disruptions specific to the Kingdom of Saudi Arabia.</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the laws of the Kingdom of Saudi Arabia. Disputes shall be resolved through the Riyadh Commercial Court.</w:t>
      </w:r>
    </w:p>
    <w:p>
      <w:pPr>
        <w:pStyle w:val="FirstParagraph"/>
      </w:pPr>
      <w:r>
        <w:t xml:space="preserve">5. Acceptance &amp; Authorization</w:t>
      </w:r>
    </w:p>
    <w:p>
      <w:pPr>
        <w:pStyle w:val="BodyText"/>
      </w:pPr>
      <w:r>
        <w:t xml:space="preserve">By signing below, the recipient acknowledges receipt of this</w:t>
      </w:r>
      <w:r>
        <w:t xml:space="preserve"> </w:t>
      </w:r>
      <w:r>
        <w:t xml:space="preserve">Quotation Estimate</w:t>
      </w:r>
      <w:r>
        <w:t xml:space="preserve"> </w:t>
      </w:r>
      <w:r>
        <w:t xml:space="preserve">and agrees to the terms and conditions outlined herein. This document constitutes a formal offer for</w:t>
      </w:r>
      <w:r>
        <w:t xml:space="preserve"> </w:t>
      </w:r>
      <w:r>
        <w:t xml:space="preserve">Chemist</w:t>
      </w:r>
      <w:r>
        <w:t xml:space="preserve"> </w:t>
      </w:r>
      <w:r>
        <w:t xml:space="preserve">and pharmaceutical supply services in</w:t>
      </w:r>
      <w:r>
        <w:t xml:space="preserve"> </w:t>
      </w:r>
      <w:r>
        <w:t xml:space="preserve">Saudi Arabia Riyadh</w:t>
      </w:r>
      <w:r>
        <w:t xml:space="preserve"> </w:t>
      </w:r>
      <w:r>
        <w:t xml:space="preserve">and does not constitute a binding contract until a formal Purchase Order is issued by the client.</w:t>
      </w:r>
    </w:p>
    <w:p>
      <w:pPr>
        <w:pStyle w:val="BodyText"/>
      </w:pPr>
      <w:r>
        <w:rPr>
          <w:bCs/>
          <w:b/>
        </w:rPr>
        <w:t xml:space="preserve">For Al-Riyadh Chemist &amp; Pharmaceutical Services Co., Ltd.</w:t>
      </w:r>
      <w:r>
        <w:br/>
      </w:r>
      <w:r>
        <w:t xml:space="preserve">Name: Pharm. Sarah Al-Otaibi, M.Pharm.</w:t>
      </w:r>
      <w:r>
        <w:br/>
      </w:r>
      <w:r>
        <w:t xml:space="preserve">Title: Head of Commercial Operations</w:t>
      </w:r>
      <w:r>
        <w:br/>
      </w:r>
      <w:r>
        <w:t xml:space="preserve">Date: _______________</w:t>
      </w:r>
    </w:p>
    <w:p>
      <w:pPr>
        <w:pStyle w:val="BodyText"/>
      </w:pPr>
      <w:r>
        <w:rPr>
          <w:bCs/>
          <w:b/>
        </w:rPr>
        <w:t xml:space="preserve">For the Client (Ministry of Health – Riyadh)</w:t>
      </w:r>
      <w:r>
        <w:br/>
      </w:r>
      <w:r>
        <w:t xml:space="preserve">Name: ___________________________</w:t>
      </w:r>
      <w:r>
        <w:br/>
      </w:r>
      <w:r>
        <w:t xml:space="preserve">Title: ___________________________</w:t>
      </w:r>
      <w:r>
        <w:br/>
      </w:r>
      <w:r>
        <w:t xml:space="preserve">Date: _______________</w:t>
      </w:r>
    </w:p>
    <w:p>
      <w:pPr>
        <w:pStyle w:val="BodyText"/>
      </w:pPr>
      <w:r>
        <w:t xml:space="preserve">Al-Riyadh Chemist &amp; Pharmaceutical Services Co., Ltd. | Riyadh, Saudi Arabia | CR 1010456789 | SFDA License No. PH-2024-00891</w:t>
      </w:r>
    </w:p>
    <w:p>
      <w:pPr>
        <w:pStyle w:val="BodyText"/>
      </w:pPr>
      <w:r>
        <w:t xml:space="preserve">This Quotation Estimate document is generated electronically and is valid without a physical stamp. For verification, contact quotations@alriyadhchemist.sa or +966 11 456 7890.</w:t>
      </w:r>
    </w:p>
    <w:p>
      <w:pPr>
        <w:pStyle w:val="BodyText"/>
      </w:pPr>
      <w:r>
        <w:t xml:space="preserve">© 2025 Al-Riyadh Chemist &amp; Pharmaceutical Services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Saudi Arabia Riyadh</dc:title>
  <dc:creator/>
  <dc:language>en</dc:language>
  <cp:keywords/>
  <dcterms:created xsi:type="dcterms:W3CDTF">2026-10-10T02:16:20Z</dcterms:created>
  <dcterms:modified xsi:type="dcterms:W3CDTF">2026-10-10T02:16:20Z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