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Chemist Services &amp; Pharmaceutical Supply</w:t>
      </w:r>
    </w:p>
    <w:p>
      <w:pPr>
        <w:pStyle w:val="BodyText"/>
      </w:pPr>
      <w:r>
        <w:t xml:space="preserve">Sudan Khartoum | Republic of Sudan</w:t>
      </w:r>
    </w:p>
    <w:bookmarkEnd w:id="20"/>
    <w:bookmarkStart w:id="21" w:name="prepared-by-supplier"/>
    <w:p>
      <w:pPr>
        <w:pStyle w:val="Heading3"/>
      </w:pPr>
      <w:r>
        <w:t xml:space="preserve">Prepared By (Supplier):</w:t>
      </w:r>
    </w:p>
    <w:p>
      <w:pPr>
        <w:pStyle w:val="FirstParagraph"/>
      </w:pPr>
      <w:r>
        <w:rPr>
          <w:bCs/>
          <w:b/>
        </w:rPr>
        <w:t xml:space="preserve">Nile Valley Chemist &amp; Pharmaceutical Co.</w:t>
      </w:r>
      <w:r>
        <w:br/>
      </w:r>
      <w:r>
        <w:t xml:space="preserve">Office 14, El-Mahdi Street</w:t>
      </w:r>
      <w:r>
        <w:br/>
      </w:r>
      <w:r>
        <w:t xml:space="preserve">Omdurman, Khartoum, Sudan</w:t>
      </w:r>
      <w:r>
        <w:br/>
      </w:r>
      <w:r>
        <w:t xml:space="preserve">Tel: +249-183-XXXXXX</w:t>
      </w:r>
      <w:r>
        <w:br/>
      </w:r>
      <w:r>
        <w:t xml:space="preserve">Email: info@nilevalleychemist.sd</w:t>
      </w:r>
      <w:r>
        <w:br/>
      </w:r>
      <w:r>
        <w:t xml:space="preserve">Commercial Reg. No: KH-2024-08731</w:t>
      </w:r>
      <w:r>
        <w:br/>
      </w:r>
      <w:r>
        <w:t xml:space="preserve">VAT Reg. No: 101-XXXX-XXXX</w:t>
      </w:r>
    </w:p>
    <w:bookmarkEnd w:id="21"/>
    <w:bookmarkStart w:id="22" w:name="prepared-for-client"/>
    <w:p>
      <w:pPr>
        <w:pStyle w:val="Heading3"/>
      </w:pPr>
      <w:r>
        <w:t xml:space="preserve">Prepared For (Client):</w:t>
      </w:r>
    </w:p>
    <w:p>
      <w:pPr>
        <w:pStyle w:val="FirstParagraph"/>
      </w:pPr>
      <w:r>
        <w:rPr>
          <w:bCs/>
          <w:b/>
        </w:rPr>
        <w:t xml:space="preserve">Al-Rahma General Hospital</w:t>
      </w:r>
      <w:r>
        <w:br/>
      </w:r>
      <w:r>
        <w:t xml:space="preserve">Pharmacy &amp; Laboratory Department</w:t>
      </w:r>
      <w:r>
        <w:br/>
      </w:r>
      <w:r>
        <w:t xml:space="preserve">El-Khadim Road, Khartoum, Sudan</w:t>
      </w:r>
      <w:r>
        <w:br/>
      </w:r>
      <w:r>
        <w:t xml:space="preserve">Tel: +249-185-XXXXXX</w:t>
      </w:r>
      <w:r>
        <w:br/>
      </w:r>
      <w:r>
        <w:t xml:space="preserve">Contact Person: Dr. Ahmed El-Tahir</w:t>
      </w:r>
      <w:r>
        <w:br/>
      </w:r>
      <w:r>
        <w:t xml:space="preserve">Purchase Order Ref: AGRH-PO-2025-0342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NVC-QE-2025-01187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(until 15 July 2025)</w:t>
            </w:r>
          </w:p>
        </w:tc>
        <w:tc>
          <w:tcPr/>
          <w:p>
            <w:pPr>
              <w:pStyle w:val="Compact"/>
              <w:jc w:val="left"/>
            </w:pPr>
            <w:r>
              <w:t xml:space="preserve">Currency:</w:t>
            </w:r>
          </w:p>
        </w:tc>
        <w:tc>
          <w:tcPr/>
          <w:p>
            <w:pPr>
              <w:pStyle w:val="Compact"/>
              <w:jc w:val="left"/>
            </w:pPr>
            <w:r>
              <w:t xml:space="preserve">Sudanese Pound (SDG) / USD</w:t>
            </w:r>
          </w:p>
        </w:tc>
      </w:tr>
      <w:tr>
        <w:tc>
          <w:tcPr/>
          <w:p>
            <w:pPr>
              <w:pStyle w:val="Compact"/>
              <w:jc w:val="left"/>
            </w:pPr>
            <w:r>
              <w:t xml:space="preserve">Delivery Location:</w:t>
            </w:r>
          </w:p>
        </w:tc>
        <w:tc>
          <w:tcPr/>
          <w:p>
            <w:pPr>
              <w:pStyle w:val="Compact"/>
              <w:jc w:val="left"/>
            </w:pPr>
            <w:r>
              <w:t xml:space="preserve">Al-Rahma General Hospital, Khartoum, Sudan</w:t>
            </w:r>
          </w:p>
        </w:tc>
        <w:tc>
          <w:tcPr/>
          <w:p>
            <w:pPr>
              <w:pStyle w:val="Compact"/>
              <w:jc w:val="left"/>
            </w:pPr>
            <w:r>
              <w:t xml:space="preserve">Delivery Terms:</w:t>
            </w:r>
          </w:p>
        </w:tc>
        <w:tc>
          <w:tcPr/>
          <w:p>
            <w:pPr>
              <w:pStyle w:val="Compact"/>
              <w:jc w:val="left"/>
            </w:pPr>
            <w:r>
              <w:t xml:space="preserve">DDP (Delivered Duty Paid) – Khartoum</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Nile Valley Chemist &amp; Pharmaceutical Co., a licensed and registered</w:t>
      </w:r>
      <w:r>
        <w:t xml:space="preserve"> </w:t>
      </w:r>
      <w:r>
        <w:t xml:space="preserve">Chemist</w:t>
      </w:r>
      <w:r>
        <w:t xml:space="preserve"> </w:t>
      </w:r>
      <w:r>
        <w:t xml:space="preserve">and pharmaceutical supply firm operating in</w:t>
      </w:r>
      <w:r>
        <w:t xml:space="preserve"> </w:t>
      </w:r>
      <w:r>
        <w:t xml:space="preserve">Sudan Khartoum</w:t>
      </w:r>
      <w:r>
        <w:t xml:space="preserve">, in response to the formal request for quotation received from Al-Rahma General Hospital. The purpose of this document is to provide a comprehensive, itemized, and transparent cost breakdown for the supply of pharmaceutical reagents, laboratory chemicals, diagnostic kits, and associated professional</w:t>
      </w:r>
      <w:r>
        <w:t xml:space="preserve"> </w:t>
      </w:r>
      <w:r>
        <w:t xml:space="preserve">Chemist</w:t>
      </w:r>
      <w:r>
        <w:t xml:space="preserve"> </w:t>
      </w:r>
      <w:r>
        <w:t xml:space="preserve">consultancy services required for the hospital's central laboratory and pharmacy operations during the period of July 2025 through December 2025.</w:t>
      </w:r>
    </w:p>
    <w:p>
      <w:pPr>
        <w:pStyle w:val="BodyText"/>
      </w:pPr>
      <w:r>
        <w:t xml:space="preserve">All pricing contained within this</w:t>
      </w:r>
      <w:r>
        <w:t xml:space="preserve"> </w:t>
      </w:r>
      <w:r>
        <w:t xml:space="preserve">Quotation Estimate</w:t>
      </w:r>
      <w:r>
        <w:t xml:space="preserve"> </w:t>
      </w:r>
      <w:r>
        <w:t xml:space="preserve">reflects current market rates applicable to the</w:t>
      </w:r>
      <w:r>
        <w:t xml:space="preserve"> </w:t>
      </w:r>
      <w:r>
        <w:t xml:space="preserve">Sudan Khartoum</w:t>
      </w:r>
      <w:r>
        <w:t xml:space="preserve"> </w:t>
      </w:r>
      <w:r>
        <w:t xml:space="preserve">commercial zone, inclusive of applicable local taxes, customs duties where applicable, and delivery logistics within the Greater Khartoum metropolitan area. The</w:t>
      </w:r>
      <w:r>
        <w:t xml:space="preserve"> </w:t>
      </w:r>
      <w:r>
        <w:t xml:space="preserve">Chemist</w:t>
      </w:r>
      <w:r>
        <w:t xml:space="preserve"> </w:t>
      </w:r>
      <w:r>
        <w:t xml:space="preserve">firm guarantees that all products and services listed herein comply with the regulations set forth by the Sudanese Ministry of Health, the National Food and Drug Administration (NFDA) of Sudan, and the relevant standards of the Sudanese Pharmacopoeia.</w:t>
      </w:r>
    </w:p>
    <w:bookmarkEnd w:id="23"/>
    <w:bookmarkStart w:id="24" w:name="X03d20cdc44674a8f47e7a6341100a62f382db27"/>
    <w:p>
      <w:pPr>
        <w:pStyle w:val="Heading2"/>
      </w:pPr>
      <w:r>
        <w:t xml:space="preserve">2. Itemized Quotation Estimate – Products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Pharmaceutical-grade Sodium Chloride (NaCl), 50 kg industrial bags, USP/EP grade, for IV preparation</w:t>
            </w:r>
          </w:p>
        </w:tc>
        <w:tc>
          <w:tcPr/>
          <w:p>
            <w:pPr>
              <w:pStyle w:val="Compact"/>
              <w:jc w:val="left"/>
            </w:pPr>
            <w:r>
              <w:t xml:space="preserve">200</w:t>
            </w:r>
          </w:p>
        </w:tc>
        <w:tc>
          <w:tcPr/>
          <w:p>
            <w:pPr>
              <w:pStyle w:val="Compact"/>
              <w:jc w:val="left"/>
            </w:pPr>
            <w:r>
              <w:t xml:space="preserve">kg</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Laboratory-grade Potassium Dihydrogen Phosphate (KH₂PO₄), 25 kg drums, for buffer preparation</w:t>
            </w:r>
          </w:p>
        </w:tc>
        <w:tc>
          <w:tcPr/>
          <w:p>
            <w:pPr>
              <w:pStyle w:val="Compact"/>
              <w:jc w:val="left"/>
            </w:pPr>
            <w:r>
              <w:t xml:space="preserve">80</w:t>
            </w:r>
          </w:p>
        </w:tc>
        <w:tc>
          <w:tcPr/>
          <w:p>
            <w:pPr>
              <w:pStyle w:val="Compact"/>
              <w:jc w:val="left"/>
            </w:pPr>
            <w:r>
              <w:t xml:space="preserve">kg</w:t>
            </w:r>
          </w:p>
        </w:tc>
        <w:tc>
          <w:tcPr/>
          <w:p>
            <w:pPr>
              <w:pStyle w:val="Compact"/>
              <w:jc w:val="left"/>
            </w:pPr>
            <w:r>
              <w:t xml:space="preserve">3,200</w:t>
            </w:r>
          </w:p>
        </w:tc>
        <w:tc>
          <w:tcPr/>
          <w:p>
            <w:pPr>
              <w:pStyle w:val="Compact"/>
              <w:jc w:val="left"/>
            </w:pPr>
            <w:r>
              <w:t xml:space="preserve">256,000</w:t>
            </w:r>
          </w:p>
        </w:tc>
      </w:tr>
      <w:tr>
        <w:tc>
          <w:tcPr/>
          <w:p>
            <w:pPr>
              <w:pStyle w:val="Compact"/>
              <w:jc w:val="left"/>
            </w:pPr>
            <w:r>
              <w:t xml:space="preserve">03</w:t>
            </w:r>
          </w:p>
        </w:tc>
        <w:tc>
          <w:tcPr/>
          <w:p>
            <w:pPr>
              <w:pStyle w:val="Compact"/>
              <w:jc w:val="left"/>
            </w:pPr>
            <w:r>
              <w:t xml:space="preserve">Complete Hematology Diagnostic Kit (CBC, ESR, Reticulocyte), 1,000-test pack</w:t>
            </w:r>
          </w:p>
        </w:tc>
        <w:tc>
          <w:tcPr/>
          <w:p>
            <w:pPr>
              <w:pStyle w:val="Compact"/>
              <w:jc w:val="left"/>
            </w:pPr>
            <w:r>
              <w:t xml:space="preserve">12</w:t>
            </w:r>
          </w:p>
        </w:tc>
        <w:tc>
          <w:tcPr/>
          <w:p>
            <w:pPr>
              <w:pStyle w:val="Compact"/>
              <w:jc w:val="left"/>
            </w:pPr>
            <w:r>
              <w:t xml:space="preserve">packs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04</w:t>
            </w:r>
          </w:p>
        </w:tc>
        <w:tc>
          <w:tcPr/>
          <w:p>
            <w:pPr>
              <w:pStyle w:val="Compact"/>
              <w:jc w:val="left"/>
            </w:pPr>
            <w:r>
              <w:t xml:space="preserve">Biochemistry Reagent Set (Glucose, Urea, Creatinine, AST, ALT, ALP, Bilirubin), 6-month supply</w:t>
            </w:r>
          </w:p>
        </w:tc>
        <w:tc>
          <w:tcPr/>
          <w:p>
            <w:pPr>
              <w:pStyle w:val="Compact"/>
              <w:jc w:val="left"/>
            </w:pPr>
            <w:r>
              <w:t xml:space="preserve">6</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Microbiology Culture Media (Blood Agar, MacConkey, CLED, Sabouraud), 500 plates per type</w:t>
            </w:r>
          </w:p>
        </w:tc>
        <w:tc>
          <w:tcPr/>
          <w:p>
            <w:pPr>
              <w:pStyle w:val="Compact"/>
              <w:jc w:val="left"/>
            </w:pPr>
            <w:r>
              <w:t xml:space="preserve">4</w:t>
            </w:r>
          </w:p>
        </w:tc>
        <w:tc>
          <w:tcPr/>
          <w:p>
            <w:pPr>
              <w:pStyle w:val="Compact"/>
              <w:jc w:val="left"/>
            </w:pPr>
            <w:r>
              <w:t xml:space="preserve">types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Professional Chemist Consultancy – Monthly Laboratory Quality Assurance Audit (6 months)</w:t>
            </w:r>
          </w:p>
        </w:tc>
        <w:tc>
          <w:tcPr/>
          <w:p>
            <w:pPr>
              <w:pStyle w:val="Compact"/>
              <w:jc w:val="left"/>
            </w:pPr>
            <w:r>
              <w:t xml:space="preserve">6</w:t>
            </w:r>
          </w:p>
        </w:tc>
        <w:tc>
          <w:tcPr/>
          <w:p>
            <w:pPr>
              <w:pStyle w:val="Compact"/>
              <w:jc w:val="left"/>
            </w:pPr>
            <w:r>
              <w:t xml:space="preserve">visits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07</w:t>
            </w:r>
          </w:p>
        </w:tc>
        <w:tc>
          <w:tcPr/>
          <w:p>
            <w:pPr>
              <w:pStyle w:val="Compact"/>
              <w:jc w:val="left"/>
            </w:pPr>
            <w:r>
              <w:t xml:space="preserve">Chemist Training Workshop – Good Laboratory Practice (GLP) &amp; Chemical Safety, 2-day intensive, up to 25 participants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Delivery, Handling &amp; Cold-Chain Logistics within Khartoum, Sudan (all items)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Waste Disposal &amp; Environmental Compliance Service (chemical waste,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78,000</w:t>
            </w:r>
          </w:p>
        </w:tc>
        <w:tc>
          <w:tcPr/>
          <w:p>
            <w:pPr>
              <w:pStyle w:val="Compact"/>
              <w:jc w:val="left"/>
            </w:pPr>
            <w:r>
              <w:t xml:space="preserve">468,000</w:t>
            </w:r>
          </w:p>
        </w:tc>
      </w:tr>
      <w:tr>
        <w:tc>
          <w:tcPr>
            <w:gridSpan w:val="5"/>
          </w:tcPr>
          <w:p>
            <w:pPr>
              <w:pStyle w:val="Compact"/>
              <w:jc w:val="right"/>
            </w:pPr>
            <w:r>
              <w:t xml:space="preserve">Subtotal:</w:t>
            </w:r>
          </w:p>
        </w:tc>
        <w:tc>
          <w:tcPr/>
          <w:p>
            <w:pPr>
              <w:pStyle w:val="Compact"/>
              <w:jc w:val="left"/>
            </w:pPr>
            <w:r>
              <w:t xml:space="preserve">17,349,000</w:t>
            </w:r>
          </w:p>
        </w:tc>
      </w:tr>
      <w:tr>
        <w:tc>
          <w:tcPr>
            <w:gridSpan w:val="5"/>
          </w:tcPr>
          <w:p>
            <w:pPr>
              <w:pStyle w:val="Compact"/>
              <w:jc w:val="right"/>
            </w:pPr>
            <w:r>
              <w:t xml:space="preserve">VAT (15% – Sudan Standard Rate):</w:t>
            </w:r>
          </w:p>
        </w:tc>
        <w:tc>
          <w:tcPr/>
          <w:p>
            <w:pPr>
              <w:pStyle w:val="Compact"/>
              <w:jc w:val="left"/>
            </w:pPr>
            <w:r>
              <w:t xml:space="preserve">2,602,350</w:t>
            </w:r>
          </w:p>
        </w:tc>
      </w:tr>
      <w:tr>
        <w:tc>
          <w:tcPr>
            <w:gridSpan w:val="5"/>
          </w:tcPr>
          <w:p>
            <w:pPr>
              <w:pStyle w:val="Compact"/>
              <w:jc w:val="right"/>
            </w:pPr>
            <w:r>
              <w:rPr>
                <w:bCs/>
                <w:b/>
              </w:rPr>
              <w:t xml:space="preserve">GRAND TOTAL (SDG):</w:t>
            </w:r>
          </w:p>
        </w:tc>
        <w:tc>
          <w:tcPr/>
          <w:p>
            <w:pPr>
              <w:pStyle w:val="Compact"/>
              <w:jc w:val="left"/>
            </w:pPr>
            <w:r>
              <w:rPr>
                <w:bCs/>
                <w:b/>
              </w:rPr>
              <w:t xml:space="preserve">19,951,350</w:t>
            </w:r>
          </w:p>
        </w:tc>
      </w:tr>
      <w:tr>
        <w:tc>
          <w:tcPr>
            <w:gridSpan w:val="5"/>
          </w:tcPr>
          <w:p>
            <w:pPr>
              <w:pStyle w:val="Compact"/>
              <w:jc w:val="right"/>
            </w:pPr>
            <w:r>
              <w:rPr>
                <w:bCs/>
                <w:b/>
              </w:rPr>
              <w:t xml:space="preserve">GRAND TOTAL (USD – approx. at 550 SDG/USD):</w:t>
            </w:r>
          </w:p>
        </w:tc>
        <w:tc>
          <w:tcPr/>
          <w:p>
            <w:pPr>
              <w:pStyle w:val="Compact"/>
              <w:jc w:val="left"/>
            </w:pPr>
            <w:r>
              <w:rPr>
                <w:bCs/>
                <w:b/>
              </w:rPr>
              <w:t xml:space="preserve">≈ 36,275 USD</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shall remain valid for a period of thirty (30) calendar days from the date of issue. Beyond this period, the</w:t>
      </w:r>
      <w:r>
        <w:t xml:space="preserve"> </w:t>
      </w:r>
      <w:r>
        <w:t xml:space="preserve">Chemist</w:t>
      </w:r>
      <w:r>
        <w:t xml:space="preserve"> </w:t>
      </w:r>
      <w:r>
        <w:t xml:space="preserve">supplier reserves the right to revise pricing due to fluctuations in the</w:t>
      </w:r>
      <w:r>
        <w:t xml:space="preserve"> </w:t>
      </w:r>
      <w:r>
        <w:t xml:space="preserve">Sudan Khartoum</w:t>
      </w:r>
      <w:r>
        <w:t xml:space="preserve"> </w:t>
      </w:r>
      <w:r>
        <w:t xml:space="preserve">market, currency exchange rates, or changes in import regulations.</w:t>
      </w:r>
    </w:p>
    <w:p>
      <w:pPr>
        <w:numPr>
          <w:ilvl w:val="0"/>
          <w:numId w:val="1001"/>
        </w:numPr>
        <w:pStyle w:val="Compact"/>
      </w:pPr>
      <w:r>
        <w:rPr>
          <w:bCs/>
          <w:b/>
        </w:rPr>
        <w:t xml:space="preserve">Payment Terms:</w:t>
      </w:r>
      <w:r>
        <w:t xml:space="preserve"> </w:t>
      </w:r>
      <w:r>
        <w:t xml:space="preserve">Payment shall be made within thirty (30) days of the date of invoice issuance. A 50% advance payment is required upon acceptance of this</w:t>
      </w:r>
      <w:r>
        <w:t xml:space="preserve"> </w:t>
      </w:r>
      <w:r>
        <w:t xml:space="preserve">Quotation Estimate</w:t>
      </w:r>
      <w:r>
        <w:t xml:space="preserve"> </w:t>
      </w:r>
      <w:r>
        <w:t xml:space="preserve">to secure production and procurement schedules. The remaining 50% shall be due upon confirmed delivery and acceptance at the client's facility in Khartoum.</w:t>
      </w:r>
    </w:p>
    <w:p>
      <w:pPr>
        <w:numPr>
          <w:ilvl w:val="0"/>
          <w:numId w:val="1001"/>
        </w:numPr>
        <w:pStyle w:val="Compact"/>
      </w:pPr>
      <w:r>
        <w:rPr>
          <w:bCs/>
          <w:b/>
        </w:rPr>
        <w:t xml:space="preserve">Delivery Schedule:</w:t>
      </w:r>
      <w:r>
        <w:t xml:space="preserve"> </w:t>
      </w:r>
      <w:r>
        <w:t xml:space="preserve">All physical goods shall be delivered to the designated location in</w:t>
      </w:r>
      <w:r>
        <w:t xml:space="preserve"> </w:t>
      </w:r>
      <w:r>
        <w:t xml:space="preserve">Sudan Khartoum</w:t>
      </w:r>
      <w:r>
        <w:t xml:space="preserve"> </w:t>
      </w:r>
      <w:r>
        <w:t xml:space="preserve">within twenty-one (21) business days of receipt of the advance payment. Cold-chain items (Items 03 and 04) shall be delivered in a dedicated refrigerated vehicle maintained at 2–8 °C throughout transit.</w:t>
      </w:r>
    </w:p>
    <w:p>
      <w:pPr>
        <w:numPr>
          <w:ilvl w:val="0"/>
          <w:numId w:val="1001"/>
        </w:numPr>
        <w:pStyle w:val="Compact"/>
      </w:pPr>
      <w:r>
        <w:rPr>
          <w:bCs/>
          <w:b/>
        </w:rPr>
        <w:t xml:space="preserve">Quality Assurance:</w:t>
      </w:r>
      <w:r>
        <w:t xml:space="preserve"> </w:t>
      </w:r>
      <w:r>
        <w:t xml:space="preserve">The</w:t>
      </w:r>
      <w:r>
        <w:t xml:space="preserve"> </w:t>
      </w:r>
      <w:r>
        <w:t xml:space="preserve">Chemist</w:t>
      </w:r>
      <w:r>
        <w:t xml:space="preserve"> </w:t>
      </w:r>
      <w:r>
        <w:t xml:space="preserve">supplier guarantees that all pharmaceutical and laboratory chemicals conform to the latest edition of the Sudanese Pharmacopoeia and, where applicable, the United States Pharmacopeia (USP) or European Pharmacopoeia (EP). Certificates of Analysis (CoA) and Material Safety Data Sheets (MSDS) shall accompany every shipment.</w:t>
      </w:r>
    </w:p>
    <w:p>
      <w:pPr>
        <w:numPr>
          <w:ilvl w:val="0"/>
          <w:numId w:val="1001"/>
        </w:numPr>
        <w:pStyle w:val="Compact"/>
      </w:pPr>
      <w:r>
        <w:rPr>
          <w:bCs/>
          <w:b/>
        </w:rPr>
        <w:t xml:space="preserve">Regulatory Compliance:</w:t>
      </w:r>
      <w:r>
        <w:t xml:space="preserve"> </w:t>
      </w:r>
      <w:r>
        <w:t xml:space="preserve">All products and services are subject to the approval and oversight of the Sudanese Ministry of Health and the National Food and Drug Administration. The</w:t>
      </w:r>
      <w:r>
        <w:t xml:space="preserve"> </w:t>
      </w:r>
      <w:r>
        <w:t xml:space="preserve">Chemist</w:t>
      </w:r>
      <w:r>
        <w:t xml:space="preserve"> </w:t>
      </w:r>
      <w:r>
        <w:t xml:space="preserve">firm holds a valid Commercial License No. KH-2024-08731 and a Pharmaceutical Distribution Permit issued for operations within</w:t>
      </w:r>
      <w:r>
        <w:t xml:space="preserve"> </w:t>
      </w:r>
      <w:r>
        <w:t xml:space="preserve">Sudan Khartoum</w:t>
      </w:r>
      <w:r>
        <w:t xml:space="preserve">.</w:t>
      </w:r>
    </w:p>
    <w:p>
      <w:pPr>
        <w:numPr>
          <w:ilvl w:val="0"/>
          <w:numId w:val="1001"/>
        </w:numPr>
        <w:pStyle w:val="Compact"/>
      </w:pPr>
      <w:r>
        <w:rPr>
          <w:bCs/>
          <w:b/>
        </w:rPr>
        <w:t xml:space="preserve">Warranty and Returns:</w:t>
      </w:r>
      <w:r>
        <w:t xml:space="preserve"> </w:t>
      </w:r>
      <w:r>
        <w:t xml:space="preserve">All products carry a minimum shelf life of twelve (12) months from the date of delivery. Any item found to be damaged, expired, or non-conforming upon receipt may be returned within seven (7) days for a full replacement or credit against the</w:t>
      </w:r>
      <w:r>
        <w:t xml:space="preserve"> </w:t>
      </w:r>
      <w:r>
        <w:t xml:space="preserve">Quotation Estimate</w:t>
      </w:r>
      <w:r>
        <w:t xml:space="preserve"> </w:t>
      </w:r>
      <w:r>
        <w:t xml:space="preserve">total.</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civil unrest, natural disasters, government-imposed trade restrictions, or currency controls affecting the</w:t>
      </w:r>
      <w:r>
        <w:t xml:space="preserve"> </w:t>
      </w:r>
      <w:r>
        <w:t xml:space="preserve">Sudan Khartoum</w:t>
      </w:r>
      <w:r>
        <w:t xml:space="preserve"> </w:t>
      </w:r>
      <w:r>
        <w:t xml:space="preserve">region.</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resulting contract shall be resolved through amicable negotiation. Failing resolution within thirty (30) days, the matter shall be submitted to the competent commercial courts of Khartoum, Republic of Sudan.</w:t>
      </w:r>
    </w:p>
    <w:p>
      <w:pPr>
        <w:numPr>
          <w:ilvl w:val="0"/>
          <w:numId w:val="1001"/>
        </w:numPr>
        <w:pStyle w:val="Compact"/>
      </w:pPr>
      <w:r>
        <w:rPr>
          <w:bCs/>
          <w:b/>
        </w:rPr>
        <w:t xml:space="preserve">Confidentiality:</w:t>
      </w:r>
      <w:r>
        <w:t xml:space="preserve"> </w:t>
      </w:r>
      <w:r>
        <w:t xml:space="preserve">All pricing, technical specifications, and business information contained in this</w:t>
      </w:r>
      <w:r>
        <w:t xml:space="preserve"> </w:t>
      </w:r>
      <w:r>
        <w:t xml:space="preserve">Quotation Estimate</w:t>
      </w:r>
      <w:r>
        <w:t xml:space="preserve"> </w:t>
      </w:r>
      <w:r>
        <w:t xml:space="preserve">are strictly confidential and shall not be disclosed to third parties without the prior written consent of both the</w:t>
      </w:r>
      <w:r>
        <w:t xml:space="preserve"> </w:t>
      </w:r>
      <w:r>
        <w:t xml:space="preserve">Chemist</w:t>
      </w:r>
      <w:r>
        <w:t xml:space="preserve"> </w:t>
      </w:r>
      <w:r>
        <w:t xml:space="preserve">supplier and the client.</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a non-binding document until formally accepted in writing by the client. Acceptance shall be confirmed by signing and returning a copy of this document or by issuing a formal Purchase Order referencing Quotation Estimate No. NVC-QE-2025-01187. All prices are quoted in Sudanese Pounds (SDG) and are subject to the prevailing exchange rate at the time of invoicing. The</w:t>
      </w:r>
      <w:r>
        <w:t xml:space="preserve"> </w:t>
      </w:r>
      <w:r>
        <w:t xml:space="preserve">Chemist</w:t>
      </w:r>
      <w:r>
        <w:t xml:space="preserve"> </w:t>
      </w:r>
      <w:r>
        <w:t xml:space="preserve">supplier, Nile Valley Chemist &amp; Pharmaceutical Co., is fully licensed to operate in</w:t>
      </w:r>
      <w:r>
        <w:t xml:space="preserve"> </w:t>
      </w:r>
      <w:r>
        <w:t xml:space="preserve">Sudan Khartoum</w:t>
      </w:r>
      <w:r>
        <w:t xml:space="preserve"> </w:t>
      </w:r>
      <w:r>
        <w:t xml:space="preserve">and all surrounding governorates.</w:t>
      </w:r>
    </w:p>
    <w:bookmarkEnd w:id="25"/>
    <w:bookmarkStart w:id="26" w:name="acceptance-and-authorization"/>
    <w:p>
      <w:pPr>
        <w:pStyle w:val="Heading2"/>
      </w:pPr>
      <w:r>
        <w:t xml:space="preserve">4. Acceptance and Authorization</w:t>
      </w:r>
    </w:p>
    <w:p>
      <w:pPr>
        <w:pStyle w:val="FirstParagraph"/>
      </w:pPr>
      <w:r>
        <w:rPr>
          <w:bCs/>
          <w:b/>
        </w:rPr>
        <w:t xml:space="preserve">For and on behalf of the Supplier:</w:t>
      </w:r>
    </w:p>
    <w:p>
      <w:pPr>
        <w:pStyle w:val="BodyText"/>
      </w:pPr>
      <w:r>
        <w:t xml:space="preserve">Nile Valley Chemist &amp; Pharmaceutical Co.</w:t>
      </w:r>
    </w:p>
    <w:p>
      <w:pPr>
        <w:pStyle w:val="BodyText"/>
      </w:pPr>
      <w:r>
        <w:rPr>
          <w:bCs/>
          <w:b/>
        </w:rPr>
        <w:t xml:space="preserve">Dr. Fatima El-Siddig</w:t>
      </w:r>
      <w:r>
        <w:br/>
      </w:r>
      <w:r>
        <w:t xml:space="preserve">Lead Chemist &amp; Managing Director</w:t>
      </w:r>
      <w:r>
        <w:br/>
      </w:r>
      <w:r>
        <w:t xml:space="preserve">Signature &amp; Company Stamp</w:t>
      </w:r>
      <w:r>
        <w:br/>
      </w:r>
      <w:r>
        <w:t xml:space="preserve">Date: _______________</w:t>
      </w:r>
    </w:p>
    <w:p>
      <w:pPr>
        <w:pStyle w:val="BodyText"/>
      </w:pPr>
      <w:r>
        <w:rPr>
          <w:bCs/>
          <w:b/>
        </w:rPr>
        <w:t xml:space="preserve">For and on behalf of the Client:</w:t>
      </w:r>
    </w:p>
    <w:p>
      <w:pPr>
        <w:pStyle w:val="BodyText"/>
      </w:pPr>
      <w:r>
        <w:t xml:space="preserve">Al-Rahma General Hospital, Khartoum</w:t>
      </w:r>
    </w:p>
    <w:p>
      <w:pPr>
        <w:pStyle w:val="BodyText"/>
      </w:pPr>
      <w:r>
        <w:rPr>
          <w:bCs/>
          <w:b/>
        </w:rPr>
        <w:t xml:space="preserve">Dr. Ahmed El-Tahir</w:t>
      </w:r>
      <w:r>
        <w:br/>
      </w:r>
      <w:r>
        <w:t xml:space="preserve">Head of Pharmacy &amp; Laboratory Dept.</w:t>
      </w:r>
      <w:r>
        <w:br/>
      </w:r>
      <w:r>
        <w:t xml:space="preserve">Signature &amp; Hospital Stamp</w:t>
      </w:r>
      <w:r>
        <w:br/>
      </w:r>
      <w:r>
        <w:t xml:space="preserve">Date: _______________</w:t>
      </w:r>
    </w:p>
    <w:p>
      <w:pPr>
        <w:pStyle w:val="BodyText"/>
      </w:pPr>
      <w:r>
        <w:rPr>
          <w:bCs/>
          <w:b/>
        </w:rPr>
        <w:t xml:space="preserve">Nile Valley Chemist &amp; Pharmaceutical Co.</w:t>
      </w:r>
      <w:r>
        <w:t xml:space="preserve"> </w:t>
      </w:r>
      <w:r>
        <w:t xml:space="preserve">| Omdurman, Khartoum, Sudan | Tel: +249-183-XXXXXX | Email: info@nilevalleychemist.sd</w:t>
      </w:r>
    </w:p>
    <w:p>
      <w:pPr>
        <w:pStyle w:val="BodyText"/>
      </w:pPr>
      <w:r>
        <w:t xml:space="preserve">This Quotation Estimate document was prepared in accordance with the commercial and pharmaceutical regulations of the Republic of Sudan. Document Ref: NVC-QE-2025-01187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Sudan Khartoum</dc:title>
  <dc:creator/>
  <dc:language>en</dc:language>
  <cp:keywords/>
  <dcterms:created xsi:type="dcterms:W3CDTF">2026-10-10T01:17:21Z</dcterms:created>
  <dcterms:modified xsi:type="dcterms:W3CDTF">2026-10-10T01:17:21Z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