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Chemist</w:t>
      </w:r>
      <w:r>
        <w:t xml:space="preserve"> </w:t>
      </w:r>
      <w:r>
        <w:t xml:space="preserve">Services</w:t>
      </w:r>
      <w:r>
        <w:t xml:space="preserve"> </w:t>
      </w:r>
      <w:r>
        <w:t xml:space="preserve">-</w:t>
      </w:r>
      <w:r>
        <w:t xml:space="preserve"> </w:t>
      </w:r>
      <w:r>
        <w:t xml:space="preserve">Turkey</w:t>
      </w:r>
      <w:r>
        <w:t xml:space="preserve"> </w:t>
      </w:r>
      <w:r>
        <w:t xml:space="preserve">Ankara</w:t>
      </w:r>
    </w:p>
    <w:bookmarkStart w:id="20" w:name="quotation-estimate"/>
    <w:p>
      <w:pPr>
        <w:pStyle w:val="Heading1"/>
      </w:pPr>
      <w:r>
        <w:t xml:space="preserve">QUOTATION ESTIMATE</w:t>
      </w:r>
    </w:p>
    <w:p>
      <w:pPr>
        <w:pStyle w:val="FirstParagraph"/>
      </w:pPr>
      <w:r>
        <w:t xml:space="preserve">Professional Chemist Services — Turkey Ankara</w:t>
      </w:r>
    </w:p>
    <w:p>
      <w:pPr>
        <w:pStyle w:val="BodyText"/>
      </w:pPr>
      <w:r>
        <w:t xml:space="preserve">Document Reference: QE-ANK-2025-0047</w:t>
      </w:r>
    </w:p>
    <w:bookmarkEnd w:id="20"/>
    <w:p>
      <w:pPr>
        <w:pStyle w:val="BodyText"/>
      </w:pPr>
      <w:r>
        <w:rPr>
          <w:bCs/>
          <w:b/>
        </w:rPr>
        <w:t xml:space="preserve">Prepared By:</w:t>
      </w:r>
      <w:r>
        <w:t xml:space="preserve"> </w:t>
      </w:r>
      <w:r>
        <w:t xml:space="preserve">Ankara Chemist &amp; Pharmaceutical Services Ltd. (AÇFSL)</w:t>
      </w:r>
      <w:r>
        <w:br/>
      </w:r>
      <w:r>
        <w:t xml:space="preserve">Atatürk Bulvarı No. 214, Çankaya</w:t>
      </w:r>
      <w:r>
        <w:br/>
      </w:r>
      <w:r>
        <w:t xml:space="preserve">Ankara 06700, Turkey</w:t>
      </w:r>
      <w:r>
        <w:br/>
      </w:r>
      <w:r>
        <w:t xml:space="preserve">Tel: +90 (312) 445 6789</w:t>
      </w:r>
      <w:r>
        <w:br/>
      </w:r>
      <w:r>
        <w:t xml:space="preserve">Email: quotations@acfs-ankara.com.tr</w:t>
      </w:r>
      <w:r>
        <w:br/>
      </w:r>
      <w:r>
        <w:t xml:space="preserve">Tax ID (VKN): 1234567890</w:t>
      </w:r>
    </w:p>
    <w:p>
      <w:pPr>
        <w:pStyle w:val="BodyText"/>
      </w:pPr>
      <w:r>
        <w:rPr>
          <w:bCs/>
          <w:b/>
        </w:rPr>
        <w:t xml:space="preserve">Prepared For:</w:t>
      </w:r>
      <w:r>
        <w:t xml:space="preserve"> </w:t>
      </w:r>
      <w:r>
        <w:t xml:space="preserve">Ege Pharmaceutical Distribution A.Ş.</w:t>
      </w:r>
      <w:r>
        <w:br/>
      </w:r>
      <w:r>
        <w:t xml:space="preserve">İvedik OSB, 1200. Cadde No. 45</w:t>
      </w:r>
      <w:r>
        <w:br/>
      </w:r>
      <w:r>
        <w:t xml:space="preserve">Ankara 06230, Turkey</w:t>
      </w:r>
      <w:r>
        <w:br/>
      </w:r>
      <w:r>
        <w:t xml:space="preserve">Attn: Dr. Mehmet Yılmaz, Procurement Director</w:t>
      </w:r>
      <w:r>
        <w:br/>
      </w:r>
      <w:r>
        <w:t xml:space="preserve">Tel: +90 (312) 556 7890</w:t>
      </w:r>
      <w:r>
        <w:br/>
      </w:r>
      <w:r>
        <w:t xml:space="preserve">Email: procurement@egepharma.com.tr</w:t>
      </w:r>
    </w:p>
    <w:p>
      <w:pPr>
        <w:pStyle w:val="BodyText"/>
      </w:pPr>
      <w:r>
        <w:t xml:space="preserve">Quotation Estimate Details</w:t>
      </w:r>
    </w:p>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rPr>
                <w:bCs/>
                <w:b/>
              </w:rPr>
              <w:t xml:space="preserve">Quotation Estimate No.:</w:t>
            </w:r>
          </w:p>
        </w:tc>
        <w:tc>
          <w:tcPr/>
          <w:p>
            <w:pPr>
              <w:pStyle w:val="Compact"/>
              <w:jc w:val="left"/>
            </w:pPr>
            <w:r>
              <w:t xml:space="preserve">QE-ANK-2025-0047</w:t>
            </w:r>
          </w:p>
        </w:tc>
        <w:tc>
          <w:tcPr/>
          <w:p>
            <w:pPr>
              <w:pStyle w:val="Compact"/>
              <w:jc w:val="left"/>
            </w:pPr>
            <w:r>
              <w:rPr>
                <w:bCs/>
                <w:b/>
              </w:rPr>
              <w:t xml:space="preserve">Date of Issue:</w:t>
            </w:r>
          </w:p>
        </w:tc>
        <w:tc>
          <w:tcPr/>
          <w:p>
            <w:pPr>
              <w:pStyle w:val="Compact"/>
              <w:jc w:val="left"/>
            </w:pPr>
            <w:r>
              <w:t xml:space="preserve">15 June 2025</w:t>
            </w:r>
          </w:p>
        </w:tc>
      </w:tr>
      <w:tr>
        <w:tc>
          <w:tcPr/>
          <w:p>
            <w:pPr>
              <w:pStyle w:val="Compact"/>
              <w:jc w:val="left"/>
            </w:pPr>
            <w:r>
              <w:rPr>
                <w:bCs/>
                <w:b/>
              </w:rPr>
              <w:t xml:space="preserve">Valid Until:</w:t>
            </w:r>
          </w:p>
        </w:tc>
        <w:tc>
          <w:tcPr/>
          <w:p>
            <w:pPr>
              <w:pStyle w:val="Compact"/>
              <w:jc w:val="left"/>
            </w:pPr>
            <w:r>
              <w:t xml:space="preserve">15 July 2025 (30 days)</w:t>
            </w:r>
          </w:p>
        </w:tc>
        <w:tc>
          <w:tcPr/>
          <w:p>
            <w:pPr>
              <w:pStyle w:val="Compact"/>
              <w:jc w:val="left"/>
            </w:pPr>
            <w:r>
              <w:rPr>
                <w:bCs/>
                <w:b/>
              </w:rPr>
              <w:t xml:space="preserve">Currency:</w:t>
            </w:r>
          </w:p>
        </w:tc>
        <w:tc>
          <w:tcPr/>
          <w:p>
            <w:pPr>
              <w:pStyle w:val="Compact"/>
              <w:jc w:val="left"/>
            </w:pPr>
            <w:r>
              <w:t xml:space="preserve">TRY (Turkish Lira)</w:t>
            </w:r>
          </w:p>
        </w:tc>
      </w:tr>
      <w:tr>
        <w:tc>
          <w:tcPr/>
          <w:p>
            <w:pPr>
              <w:pStyle w:val="Compact"/>
              <w:jc w:val="left"/>
            </w:pPr>
            <w:r>
              <w:rPr>
                <w:bCs/>
                <w:b/>
              </w:rPr>
              <w:t xml:space="preserve">Service Location:</w:t>
            </w:r>
          </w:p>
        </w:tc>
        <w:tc>
          <w:tcPr>
            <w:gridSpan w:val="3"/>
          </w:tcPr>
          <w:p>
            <w:pPr>
              <w:pStyle w:val="Compact"/>
              <w:jc w:val="left"/>
            </w:pPr>
            <w:r>
              <w:t xml:space="preserve">Ankara, Turkey — Çankaya District, Central Laboratory Facility</w:t>
            </w:r>
          </w:p>
        </w:tc>
      </w:tr>
    </w:tbl>
    <w:p>
      <w:pPr>
        <w:pStyle w:val="BodyText"/>
      </w:pPr>
      <w:r>
        <w:t xml:space="preserve">Scope of Chemist Services — Turkey Ankara</w:t>
      </w:r>
    </w:p>
    <w:p>
      <w:pPr>
        <w:pStyle w:val="BodyText"/>
      </w:pPr>
      <w:r>
        <w:t xml:space="preserve">This Quotation Estimate is issued by Ankara Chemist &amp; Pharmaceutical Services Ltd. to provide comprehensive professional chemist services within the metropolitan area of Turkey Ankara. The scope encompasses pharmaceutical compounding, chemical analysis, quality control testing, and regulatory compliance consulting as required by the Turkish Ministry of Health (T.C. Sağlık Bakanlığı) and the Ankara Provincial Directorate of Health. All chemist operations referenced in this Quotation Estimate shall be conducted in accordance with Good Laboratory Practice (GLP) and Good Manufacturing Practice (GMP) standards applicable in Turkey Ankara.</w:t>
      </w:r>
    </w:p>
    <w:p>
      <w:pPr>
        <w:pStyle w:val="BodyText"/>
      </w:pPr>
      <w:r>
        <w:t xml:space="preserve">Itemized Quotation Estimate — Chemist Service 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Chemist Service</w:t>
            </w:r>
          </w:p>
        </w:tc>
        <w:tc>
          <w:tcPr/>
          <w:p>
            <w:pPr>
              <w:pStyle w:val="Compact"/>
              <w:jc w:val="left"/>
            </w:pPr>
            <w:r>
              <w:t xml:space="preserve">Quantity</w:t>
            </w:r>
          </w:p>
        </w:tc>
        <w:tc>
          <w:tcPr/>
          <w:p>
            <w:pPr>
              <w:pStyle w:val="Compact"/>
              <w:jc w:val="left"/>
            </w:pPr>
            <w:r>
              <w:t xml:space="preserve">Unit Price (TRY)</w:t>
            </w:r>
          </w:p>
        </w:tc>
        <w:tc>
          <w:tcPr/>
          <w:p>
            <w:pPr>
              <w:pStyle w:val="Compact"/>
              <w:jc w:val="left"/>
            </w:pPr>
            <w:r>
              <w:t xml:space="preserve">Total (TRY)</w:t>
            </w:r>
          </w:p>
        </w:tc>
        <w:tc>
          <w:tcPr/>
          <w:p>
            <w:pPr>
              <w:pStyle w:val="Compact"/>
              <w:jc w:val="left"/>
            </w:pPr>
            <w:r>
              <w:t xml:space="preserve">Delivery / Duration</w:t>
            </w:r>
          </w:p>
        </w:tc>
      </w:tr>
      <w:tr>
        <w:tc>
          <w:tcPr/>
          <w:p>
            <w:pPr>
              <w:pStyle w:val="Compact"/>
              <w:jc w:val="left"/>
            </w:pPr>
            <w:r>
              <w:t xml:space="preserve">1</w:t>
            </w:r>
          </w:p>
        </w:tc>
        <w:tc>
          <w:tcPr/>
          <w:p>
            <w:pPr>
              <w:pStyle w:val="Compact"/>
              <w:jc w:val="left"/>
            </w:pPr>
            <w:r>
              <w:t xml:space="preserve">Pharmaceutical Compounding — Custom preparation of sterile injectable solutions (500 mL batches) by licensed chemist team in Ankara laboratory</w:t>
            </w:r>
          </w:p>
        </w:tc>
        <w:tc>
          <w:tcPr/>
          <w:p>
            <w:pPr>
              <w:pStyle w:val="Compact"/>
              <w:jc w:val="left"/>
            </w:pPr>
            <w:r>
              <w:t xml:space="preserve">20 batches</w:t>
            </w:r>
          </w:p>
        </w:tc>
        <w:tc>
          <w:tcPr/>
          <w:p>
            <w:pPr>
              <w:pStyle w:val="Compact"/>
              <w:jc w:val="left"/>
            </w:pPr>
            <w:r>
              <w:t xml:space="preserve">12,500.00</w:t>
            </w:r>
          </w:p>
        </w:tc>
        <w:tc>
          <w:tcPr/>
          <w:p>
            <w:pPr>
              <w:pStyle w:val="Compact"/>
              <w:jc w:val="left"/>
            </w:pPr>
            <w:r>
              <w:t xml:space="preserve">250,000.00</w:t>
            </w:r>
          </w:p>
        </w:tc>
        <w:tc>
          <w:tcPr/>
          <w:p>
            <w:pPr>
              <w:pStyle w:val="Compact"/>
              <w:jc w:val="left"/>
            </w:pPr>
            <w:r>
              <w:t xml:space="preserve">45 days</w:t>
            </w:r>
          </w:p>
        </w:tc>
      </w:tr>
      <w:tr>
        <w:tc>
          <w:tcPr/>
          <w:p>
            <w:pPr>
              <w:pStyle w:val="Compact"/>
              <w:jc w:val="left"/>
            </w:pPr>
            <w:r>
              <w:t xml:space="preserve">2</w:t>
            </w:r>
          </w:p>
        </w:tc>
        <w:tc>
          <w:tcPr/>
          <w:p>
            <w:pPr>
              <w:pStyle w:val="Compact"/>
              <w:jc w:val="left"/>
            </w:pPr>
            <w:r>
              <w:t xml:space="preserve">Chemical Analysis &amp; Purity Testing — HPLC, GC-MS, and UV-Vis spectroscopy for active pharmaceutical ingredient (API) verification</w:t>
            </w:r>
          </w:p>
        </w:tc>
        <w:tc>
          <w:tcPr/>
          <w:p>
            <w:pPr>
              <w:pStyle w:val="Compact"/>
              <w:jc w:val="left"/>
            </w:pPr>
            <w:r>
              <w:t xml:space="preserve">150 samples</w:t>
            </w:r>
          </w:p>
        </w:tc>
        <w:tc>
          <w:tcPr/>
          <w:p>
            <w:pPr>
              <w:pStyle w:val="Compact"/>
              <w:jc w:val="left"/>
            </w:pPr>
            <w:r>
              <w:t xml:space="preserve">1,850.00</w:t>
            </w:r>
          </w:p>
        </w:tc>
        <w:tc>
          <w:tcPr/>
          <w:p>
            <w:pPr>
              <w:pStyle w:val="Compact"/>
              <w:jc w:val="left"/>
            </w:pPr>
            <w:r>
              <w:t xml:space="preserve">277,500.00</w:t>
            </w:r>
          </w:p>
        </w:tc>
        <w:tc>
          <w:tcPr/>
          <w:p>
            <w:pPr>
              <w:pStyle w:val="Compact"/>
              <w:jc w:val="left"/>
            </w:pPr>
            <w:r>
              <w:t xml:space="preserve">30 days</w:t>
            </w:r>
          </w:p>
        </w:tc>
      </w:tr>
      <w:tr>
        <w:tc>
          <w:tcPr/>
          <w:p>
            <w:pPr>
              <w:pStyle w:val="Compact"/>
              <w:jc w:val="left"/>
            </w:pPr>
            <w:r>
              <w:t xml:space="preserve">3</w:t>
            </w:r>
          </w:p>
        </w:tc>
        <w:tc>
          <w:tcPr/>
          <w:p>
            <w:pPr>
              <w:pStyle w:val="Compact"/>
              <w:jc w:val="left"/>
            </w:pPr>
            <w:r>
              <w:t xml:space="preserve">Quality Control &amp; Stability Testing — Accelerated and long-term stability studies per ICH guidelines, conducted by senior chemist staff</w:t>
            </w:r>
          </w:p>
        </w:tc>
        <w:tc>
          <w:tcPr/>
          <w:p>
            <w:pPr>
              <w:pStyle w:val="Compact"/>
              <w:jc w:val="left"/>
            </w:pPr>
            <w:r>
              <w:t xml:space="preserve">12 product lines</w:t>
            </w:r>
          </w:p>
        </w:tc>
        <w:tc>
          <w:tcPr/>
          <w:p>
            <w:pPr>
              <w:pStyle w:val="Compact"/>
              <w:jc w:val="left"/>
            </w:pPr>
            <w:r>
              <w:t xml:space="preserve">45,000.00</w:t>
            </w:r>
          </w:p>
        </w:tc>
        <w:tc>
          <w:tcPr/>
          <w:p>
            <w:pPr>
              <w:pStyle w:val="Compact"/>
              <w:jc w:val="left"/>
            </w:pPr>
            <w:r>
              <w:t xml:space="preserve">540,000.00</w:t>
            </w:r>
          </w:p>
        </w:tc>
        <w:tc>
          <w:tcPr/>
          <w:p>
            <w:pPr>
              <w:pStyle w:val="Compact"/>
              <w:jc w:val="left"/>
            </w:pPr>
            <w:r>
              <w:t xml:space="preserve">12 months</w:t>
            </w:r>
          </w:p>
        </w:tc>
      </w:tr>
      <w:tr>
        <w:tc>
          <w:tcPr/>
          <w:p>
            <w:pPr>
              <w:pStyle w:val="Compact"/>
              <w:jc w:val="left"/>
            </w:pPr>
            <w:r>
              <w:t xml:space="preserve">4</w:t>
            </w:r>
          </w:p>
        </w:tc>
        <w:tc>
          <w:tcPr/>
          <w:p>
            <w:pPr>
              <w:pStyle w:val="Compact"/>
              <w:jc w:val="left"/>
            </w:pPr>
            <w:r>
              <w:t xml:space="preserve">Regulatory Compliance Consulting — Chemist-led advisory for Turkish Pharmacopoeia (Türk Farmakopesi) alignment and Ankara Provincial Health Directorate submissions</w:t>
            </w:r>
          </w:p>
        </w:tc>
        <w:tc>
          <w:tcPr/>
          <w:p>
            <w:pPr>
              <w:pStyle w:val="Compact"/>
              <w:jc w:val="left"/>
            </w:pPr>
            <w:r>
              <w:t xml:space="preserve">6 sessions</w:t>
            </w:r>
          </w:p>
        </w:tc>
        <w:tc>
          <w:tcPr/>
          <w:p>
            <w:pPr>
              <w:pStyle w:val="Compact"/>
              <w:jc w:val="left"/>
            </w:pPr>
            <w:r>
              <w:t xml:space="preserve">8,500.00</w:t>
            </w:r>
          </w:p>
        </w:tc>
        <w:tc>
          <w:tcPr/>
          <w:p>
            <w:pPr>
              <w:pStyle w:val="Compact"/>
              <w:jc w:val="left"/>
            </w:pPr>
            <w:r>
              <w:t xml:space="preserve">51,000.00</w:t>
            </w:r>
          </w:p>
        </w:tc>
        <w:tc>
          <w:tcPr/>
          <w:p>
            <w:pPr>
              <w:pStyle w:val="Compact"/>
              <w:jc w:val="left"/>
            </w:pPr>
            <w:r>
              <w:t xml:space="preserve">Ongoing</w:t>
            </w:r>
          </w:p>
        </w:tc>
      </w:tr>
      <w:tr>
        <w:tc>
          <w:tcPr/>
          <w:p>
            <w:pPr>
              <w:pStyle w:val="Compact"/>
              <w:jc w:val="left"/>
            </w:pPr>
            <w:r>
              <w:t xml:space="preserve">5</w:t>
            </w:r>
          </w:p>
        </w:tc>
        <w:tc>
          <w:tcPr/>
          <w:p>
            <w:pPr>
              <w:pStyle w:val="Compact"/>
              <w:jc w:val="left"/>
            </w:pPr>
            <w:r>
              <w:t xml:space="preserve">Raw Material Sourcing &amp; Supplier Auditing — On-site chemist inspection of API and excipient suppliers within Turkey Ankara industrial zones</w:t>
            </w:r>
          </w:p>
        </w:tc>
        <w:tc>
          <w:tcPr/>
          <w:p>
            <w:pPr>
              <w:pStyle w:val="Compact"/>
              <w:jc w:val="left"/>
            </w:pPr>
            <w:r>
              <w:t xml:space="preserve">8 audits</w:t>
            </w:r>
          </w:p>
        </w:tc>
        <w:tc>
          <w:tcPr/>
          <w:p>
            <w:pPr>
              <w:pStyle w:val="Compact"/>
              <w:jc w:val="left"/>
            </w:pPr>
            <w:r>
              <w:t xml:space="preserve">6,200.00</w:t>
            </w:r>
          </w:p>
        </w:tc>
        <w:tc>
          <w:tcPr/>
          <w:p>
            <w:pPr>
              <w:pStyle w:val="Compact"/>
              <w:jc w:val="left"/>
            </w:pPr>
            <w:r>
              <w:t xml:space="preserve">49,600.00</w:t>
            </w:r>
          </w:p>
        </w:tc>
        <w:tc>
          <w:tcPr/>
          <w:p>
            <w:pPr>
              <w:pStyle w:val="Compact"/>
              <w:jc w:val="left"/>
            </w:pPr>
            <w:r>
              <w:t xml:space="preserve">60 days</w:t>
            </w:r>
          </w:p>
        </w:tc>
      </w:tr>
      <w:tr>
        <w:tc>
          <w:tcPr/>
          <w:p>
            <w:pPr>
              <w:pStyle w:val="Compact"/>
              <w:jc w:val="left"/>
            </w:pPr>
            <w:r>
              <w:t xml:space="preserve">6</w:t>
            </w:r>
          </w:p>
        </w:tc>
        <w:tc>
          <w:tcPr/>
          <w:p>
            <w:pPr>
              <w:pStyle w:val="Compact"/>
              <w:jc w:val="left"/>
            </w:pPr>
            <w:r>
              <w:t xml:space="preserve">Waste Disposal &amp; Environmental Compliance — Chemist-supervised hazardous chemical waste management per Turkey Ankara municipal regulations</w:t>
            </w:r>
          </w:p>
        </w:tc>
        <w:tc>
          <w:tcPr/>
          <w:p>
            <w:pPr>
              <w:pStyle w:val="Compact"/>
              <w:jc w:val="left"/>
            </w:pPr>
            <w:r>
              <w:t xml:space="preserve">Annual</w:t>
            </w:r>
          </w:p>
        </w:tc>
        <w:tc>
          <w:tcPr/>
          <w:p>
            <w:pPr>
              <w:pStyle w:val="Compact"/>
              <w:jc w:val="left"/>
            </w:pPr>
            <w:r>
              <w:t xml:space="preserve">38,000.00</w:t>
            </w:r>
          </w:p>
        </w:tc>
        <w:tc>
          <w:tcPr/>
          <w:p>
            <w:pPr>
              <w:pStyle w:val="Compact"/>
              <w:jc w:val="left"/>
            </w:pPr>
            <w:r>
              <w:t xml:space="preserve">38,000.00</w:t>
            </w:r>
          </w:p>
        </w:tc>
        <w:tc>
          <w:tcPr/>
          <w:p>
            <w:pPr>
              <w:pStyle w:val="Compact"/>
              <w:jc w:val="left"/>
            </w:pPr>
            <w:r>
              <w:t xml:space="preserve">12 months</w:t>
            </w:r>
          </w:p>
        </w:tc>
      </w:tr>
      <w:tr>
        <w:tc>
          <w:tcPr>
            <w:gridSpan w:val="4"/>
          </w:tcPr>
          <w:p>
            <w:pPr>
              <w:pStyle w:val="Compact"/>
              <w:jc w:val="left"/>
            </w:pPr>
            <w:r>
              <w:t xml:space="preserve">SUBTOTAL</w:t>
            </w:r>
          </w:p>
        </w:tc>
        <w:tc>
          <w:tcPr/>
          <w:p>
            <w:pPr>
              <w:pStyle w:val="Compact"/>
              <w:jc w:val="left"/>
            </w:pPr>
            <w:r>
              <w:t xml:space="preserve">1,206,100.00</w:t>
            </w:r>
          </w:p>
        </w:tc>
        <w:tc>
          <w:tcPr/>
          <w:p>
            <w:pPr>
              <w:pStyle w:val="Compact"/>
            </w:pPr>
          </w:p>
        </w:tc>
      </w:tr>
      <w:tr>
        <w:tc>
          <w:tcPr>
            <w:gridSpan w:val="4"/>
          </w:tcPr>
          <w:p>
            <w:pPr>
              <w:pStyle w:val="Compact"/>
              <w:jc w:val="left"/>
            </w:pPr>
            <w:r>
              <w:t xml:space="preserve">VAT (KDV) — 20%</w:t>
            </w:r>
          </w:p>
        </w:tc>
        <w:tc>
          <w:tcPr/>
          <w:p>
            <w:pPr>
              <w:pStyle w:val="Compact"/>
              <w:jc w:val="left"/>
            </w:pPr>
            <w:r>
              <w:t xml:space="preserve">241,220.00</w:t>
            </w:r>
          </w:p>
        </w:tc>
        <w:tc>
          <w:tcPr/>
          <w:p>
            <w:pPr>
              <w:pStyle w:val="Compact"/>
            </w:pPr>
          </w:p>
        </w:tc>
      </w:tr>
      <w:tr>
        <w:tc>
          <w:tcPr>
            <w:gridSpan w:val="4"/>
          </w:tcPr>
          <w:p>
            <w:pPr>
              <w:pStyle w:val="Compact"/>
              <w:jc w:val="left"/>
            </w:pPr>
            <w:r>
              <w:t xml:space="preserve">GRAND TOTAL (Quotation Estimate)</w:t>
            </w:r>
          </w:p>
        </w:tc>
        <w:tc>
          <w:tcPr/>
          <w:p>
            <w:pPr>
              <w:pStyle w:val="Compact"/>
              <w:jc w:val="left"/>
            </w:pPr>
            <w:r>
              <w:t xml:space="preserve">1,447,320.00 TRY</w:t>
            </w:r>
          </w:p>
        </w:tc>
        <w:tc>
          <w:tcPr/>
          <w:p>
            <w:pPr>
              <w:pStyle w:val="Compact"/>
            </w:pPr>
          </w:p>
        </w:tc>
      </w:tr>
    </w:tbl>
    <w:p>
      <w:pPr>
        <w:pStyle w:val="BodyText"/>
      </w:pPr>
      <w:r>
        <w:t xml:space="preserve">Terms and Conditions of This Quotation Estimate</w:t>
      </w:r>
    </w:p>
    <w:p>
      <w:pPr>
        <w:numPr>
          <w:ilvl w:val="0"/>
          <w:numId w:val="1001"/>
        </w:numPr>
        <w:pStyle w:val="Compact"/>
      </w:pPr>
      <w:r>
        <w:t xml:space="preserve">This Quotation Estimate is valid for a period of thirty (30) calendar days from the date of issue. After the expiry date, pricing for the chemist services listed herein may be subject to revision based on market conditions in Turkey Ankara.</w:t>
      </w:r>
    </w:p>
    <w:p>
      <w:pPr>
        <w:numPr>
          <w:ilvl w:val="0"/>
          <w:numId w:val="1001"/>
        </w:numPr>
        <w:pStyle w:val="Compact"/>
      </w:pPr>
      <w:r>
        <w:t xml:space="preserve">All chemist personnel assigned to this engagement shall hold valid licenses issued by the Ankara Chamber of Pharmacists (Ankara Eczacı Odası) and shall comply with the Turkish Health Law No. 663.</w:t>
      </w:r>
    </w:p>
    <w:p>
      <w:pPr>
        <w:numPr>
          <w:ilvl w:val="0"/>
          <w:numId w:val="1001"/>
        </w:numPr>
        <w:pStyle w:val="Compact"/>
      </w:pPr>
      <w:r>
        <w:t xml:space="preserve">Payment terms: 40% advance payment upon acceptance of this Quotation Estimate, 40% upon completion of 50% of the chemist service deliverables, and 20% upon final acceptance and delivery of all reports from the Turkey Ankara laboratory facility.</w:t>
      </w:r>
    </w:p>
    <w:p>
      <w:pPr>
        <w:numPr>
          <w:ilvl w:val="0"/>
          <w:numId w:val="1001"/>
        </w:numPr>
        <w:pStyle w:val="Compact"/>
      </w:pPr>
      <w:r>
        <w:t xml:space="preserve">All chemical reagents, analytical equipment, and laboratory consumables required for the chemist services are included in the Quotation Estimate pricing unless otherwise noted.</w:t>
      </w:r>
    </w:p>
    <w:p>
      <w:pPr>
        <w:numPr>
          <w:ilvl w:val="0"/>
          <w:numId w:val="1001"/>
        </w:numPr>
        <w:pStyle w:val="Compact"/>
      </w:pPr>
      <w:r>
        <w:t xml:space="preserve">Confidentiality: All data, formulations, and proprietary information exchanged during the execution of this Quotation Estimate shall be treated as strictly confidential by both parties in accordance with Turkish Commercial Code (Türk Ticaret Kanunu) Article 43.</w:t>
      </w:r>
    </w:p>
    <w:p>
      <w:pPr>
        <w:numPr>
          <w:ilvl w:val="0"/>
          <w:numId w:val="1001"/>
        </w:numPr>
        <w:pStyle w:val="Compact"/>
      </w:pPr>
      <w:r>
        <w:t xml:space="preserve">Force Majeure: Neither party shall be liable for delays caused by events beyond reasonable control, including but not limited to natural disasters, government-mandated closures in Turkey Ankara, or supply chain disruptions affecting chemist operations.</w:t>
      </w:r>
    </w:p>
    <w:p>
      <w:pPr>
        <w:numPr>
          <w:ilvl w:val="0"/>
          <w:numId w:val="1001"/>
        </w:numPr>
        <w:pStyle w:val="Compact"/>
      </w:pPr>
      <w:r>
        <w:t xml:space="preserve">Dispute Resolution: Any disputes arising from this Quotation Estimate shall be resolved through the Ankara Commercial Courts (Ankara Ticaret Mahkemeleri) in accordance with the laws of the Republic of Turkey.</w:t>
      </w:r>
    </w:p>
    <w:p>
      <w:pPr>
        <w:numPr>
          <w:ilvl w:val="0"/>
          <w:numId w:val="1001"/>
        </w:numPr>
        <w:pStyle w:val="Compact"/>
      </w:pPr>
      <w:r>
        <w:t xml:space="preserve">This Quotation Estimate does not constitute a binding contract until formally accepted in writing by both parties. Acceptance shall be evidenced by a signed Purchase Order referencing Quotation Estimate No. QE-ANK-2025-0047.</w:t>
      </w:r>
    </w:p>
    <w:p>
      <w:pPr>
        <w:pStyle w:val="FirstParagraph"/>
      </w:pPr>
      <w:r>
        <w:t xml:space="preserve">Acceptance and Authorization</w:t>
      </w:r>
    </w:p>
    <w:p>
      <w:pPr>
        <w:pStyle w:val="BodyText"/>
      </w:pPr>
      <w:r>
        <w:rPr>
          <w:bCs/>
          <w:b/>
        </w:rPr>
        <w:t xml:space="preserve">For Ankara Chemist &amp; Pharmaceutical Services Ltd.</w:t>
      </w:r>
      <w:r>
        <w:br/>
      </w:r>
      <w:r>
        <w:t xml:space="preserve">Name: Prof. Dr. Ayşe Kaya, Chief Chemist</w:t>
      </w:r>
      <w:r>
        <w:br/>
      </w:r>
      <w:r>
        <w:t xml:space="preserve">Date: _______________</w:t>
      </w:r>
      <w:r>
        <w:br/>
      </w:r>
      <w:r>
        <w:t xml:space="preserve">Signature &amp; Company Seal</w:t>
      </w:r>
    </w:p>
    <w:p>
      <w:pPr>
        <w:pStyle w:val="BodyText"/>
      </w:pPr>
      <w:r>
        <w:rPr>
          <w:bCs/>
          <w:b/>
        </w:rPr>
        <w:t xml:space="preserve">For Ege Pharmaceutical Distribution A.Ş.</w:t>
      </w:r>
      <w:r>
        <w:br/>
      </w:r>
      <w:r>
        <w:t xml:space="preserve">Name: Dr. Mehmet Yılmaz, Procurement Director</w:t>
      </w:r>
      <w:r>
        <w:br/>
      </w:r>
      <w:r>
        <w:t xml:space="preserve">Date: _______________</w:t>
      </w:r>
      <w:r>
        <w:br/>
      </w:r>
      <w:r>
        <w:t xml:space="preserve">Signature &amp; Company Seal</w:t>
      </w:r>
    </w:p>
    <w:p>
      <w:pPr>
        <w:pStyle w:val="BodyText"/>
      </w:pPr>
      <w:r>
        <w:t xml:space="preserve">This Quotation Estimate document was prepared by Ankara Chemist &amp; Pharmaceutical Services Ltd. for professional chemist services to be delivered in Turkey Ankara. All prices are quoted in Turkish Lira (TRY) inclusive of applicable local taxes unless stated otherwise. This document is the property of AÇFSL and may not be reproduced without written consent. © 2025 Ankara Chemist &amp; Pharmaceutical Services Ltd. — Ankara, Turkey.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Chemist Services - Turkey Ankara</dc:title>
  <dc:creator/>
  <dc:language>en</dc:language>
  <cp:keywords/>
  <dcterms:created xsi:type="dcterms:W3CDTF">2026-10-10T07:57:54Z</dcterms:created>
  <dcterms:modified xsi:type="dcterms:W3CDTF">2026-10-10T07:57:54Z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