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China</w:t>
      </w:r>
      <w:r>
        <w:t xml:space="preserve"> </w:t>
      </w:r>
      <w:r>
        <w:t xml:space="preserve">Shanghai</w:t>
      </w:r>
    </w:p>
    <w:bookmarkStart w:id="20" w:name="X16261b89233e143bf7280f4ee620e3c5325a729"/>
    <w:p>
      <w:pPr>
        <w:pStyle w:val="Heading1"/>
      </w:pPr>
      <w:r>
        <w:t xml:space="preserve">Shanghai Meridian Engineering Consultants Co., Ltd.</w:t>
      </w:r>
    </w:p>
    <w:p>
      <w:pPr>
        <w:pStyle w:val="FirstParagraph"/>
      </w:pPr>
      <w:r>
        <w:t xml:space="preserve">888 Century Avenue, Pudong New Area, Shanghai 200120, China</w:t>
      </w:r>
    </w:p>
    <w:p>
      <w:pPr>
        <w:pStyle w:val="BodyText"/>
      </w:pPr>
      <w:r>
        <w:t xml:space="preserve">Tel: +86-21-5888-6600 | Email: quotes@shmeridian-eng.cn</w:t>
      </w:r>
    </w:p>
    <w:p>
      <w:pPr>
        <w:pStyle w:val="BodyText"/>
      </w:pPr>
      <w:r>
        <w:t xml:space="preserve">Unified Social Credit Code: 91310115MA1K4X7B2Q</w:t>
      </w:r>
    </w:p>
    <w:bookmarkEnd w:id="20"/>
    <w:p>
      <w:pPr>
        <w:pStyle w:val="BodyText"/>
      </w:pPr>
      <w:r>
        <w:t xml:space="preserve">Quotation No.: QTE-2025-SH-0472</w:t>
      </w:r>
    </w:p>
    <w:p>
      <w:pPr>
        <w:pStyle w:val="BodyText"/>
      </w:pPr>
      <w:r>
        <w:t xml:space="preserve">Date: 15 June 2025</w:t>
      </w:r>
    </w:p>
    <w:p>
      <w:pPr>
        <w:pStyle w:val="BodyText"/>
      </w:pPr>
      <w:r>
        <w:t xml:space="preserve">Valid Until: 15 July 2025</w:t>
      </w:r>
    </w:p>
    <w:bookmarkStart w:id="21" w:name="quotation-estimate"/>
    <w:p>
      <w:pPr>
        <w:pStyle w:val="Heading2"/>
      </w:pPr>
      <w:r>
        <w:t xml:space="preserve">QUOTATION ESTIMATE</w:t>
      </w:r>
    </w:p>
    <w:p>
      <w:pPr>
        <w:pStyle w:val="FirstParagraph"/>
      </w:pPr>
      <w:r>
        <w:t xml:space="preserve">Civil Engineer Professional Services — China Shanghai Region</w:t>
      </w:r>
    </w:p>
    <w:bookmarkEnd w:id="21"/>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Prepared For:</w:t>
            </w:r>
          </w:p>
        </w:tc>
        <w:tc>
          <w:tcPr/>
          <w:p>
            <w:pPr>
              <w:pStyle w:val="Compact"/>
              <w:jc w:val="left"/>
            </w:pPr>
            <w:r>
              <w:t xml:space="preserve">Shanghai Riverside Development Group Co., Ltd.</w:t>
            </w:r>
            <w:r>
              <w:br/>
            </w:r>
            <w:r>
              <w:t xml:space="preserve">1200 Lujiazui Ring Road, Pudong, Shanghai, China</w:t>
            </w:r>
          </w:p>
        </w:tc>
      </w:tr>
      <w:tr>
        <w:tc>
          <w:tcPr/>
          <w:p>
            <w:pPr>
              <w:pStyle w:val="Compact"/>
              <w:jc w:val="left"/>
            </w:pPr>
            <w:r>
              <w:t xml:space="preserve">Project Reference:</w:t>
            </w:r>
          </w:p>
        </w:tc>
        <w:tc>
          <w:tcPr/>
          <w:p>
            <w:pPr>
              <w:pStyle w:val="Compact"/>
              <w:jc w:val="left"/>
            </w:pPr>
            <w:r>
              <w:t xml:space="preserve">Phase II Residential &amp; Commercial Complex, Huangpu District, Shanghai</w:t>
            </w:r>
          </w:p>
        </w:tc>
      </w:tr>
      <w:tr>
        <w:tc>
          <w:tcPr/>
          <w:p>
            <w:pPr>
              <w:pStyle w:val="Compact"/>
              <w:jc w:val="left"/>
            </w:pPr>
            <w:r>
              <w:t xml:space="preserve">Scope Category:</w:t>
            </w:r>
          </w:p>
        </w:tc>
        <w:tc>
          <w:tcPr/>
          <w:p>
            <w:pPr>
              <w:pStyle w:val="Compact"/>
              <w:jc w:val="left"/>
            </w:pPr>
            <w:r>
              <w:t xml:space="preserve">Civil Engineer Consulting, Structural Design Review, and Site Supervision</w:t>
            </w:r>
          </w:p>
        </w:tc>
      </w:tr>
      <w:tr>
        <w:tc>
          <w:tcPr/>
          <w:p>
            <w:pPr>
              <w:pStyle w:val="Compact"/>
              <w:jc w:val="left"/>
            </w:pPr>
            <w:r>
              <w:t xml:space="preserve">Currency:</w:t>
            </w:r>
          </w:p>
        </w:tc>
        <w:tc>
          <w:tcPr/>
          <w:p>
            <w:pPr>
              <w:pStyle w:val="Compact"/>
              <w:jc w:val="left"/>
            </w:pPr>
            <w:r>
              <w:t xml:space="preserve">Chinese Yuan (CNY / RMB)</w:t>
            </w:r>
          </w:p>
        </w:tc>
      </w:tr>
    </w:tbl>
    <w:bookmarkStart w:id="22" w:name="Xc39ecbd6e7dbc2417a4b707451ae5852297fdca"/>
    <w:p>
      <w:pPr>
        <w:pStyle w:val="Heading3"/>
      </w:pPr>
      <w:r>
        <w:t xml:space="preserve">1. Scope of Work — Civil Engineer Services in China Shanghai</w:t>
      </w:r>
    </w:p>
    <w:p>
      <w:pPr>
        <w:pStyle w:val="FirstParagraph"/>
      </w:pPr>
      <w:r>
        <w:t xml:space="preserve">This</w:t>
      </w:r>
      <w:r>
        <w:t xml:space="preserve"> </w:t>
      </w:r>
      <w:r>
        <w:t xml:space="preserve">Quotation Estimate</w:t>
      </w:r>
      <w:r>
        <w:t xml:space="preserve"> </w:t>
      </w:r>
      <w:r>
        <w:t xml:space="preserve">is issued by Shanghai Meridian Engineering Consultants Co., Ltd. to provide a comprehensive breakdown of professional fees for the engagement of a senior</w:t>
      </w:r>
      <w:r>
        <w:t xml:space="preserve"> </w:t>
      </w:r>
      <w:r>
        <w:t xml:space="preserve">Civil Engineer</w:t>
      </w:r>
      <w:r>
        <w:t xml:space="preserve"> </w:t>
      </w:r>
      <w:r>
        <w:t xml:space="preserve">and supporting technical team for the Phase II development project located in the Huangpu District of</w:t>
      </w:r>
      <w:r>
        <w:t xml:space="preserve"> </w:t>
      </w:r>
      <w:r>
        <w:t xml:space="preserve">China Shanghai</w:t>
      </w:r>
      <w:r>
        <w:t xml:space="preserve">. The scope encompasses structural design verification, geotechnical assessment coordination, foundation engineering oversight, and full-cycle construction supervision in strict compliance with the national standards GB 50010-2010 (Code for Design of Concrete Structures) and the local Shanghai municipal building regulations.</w:t>
      </w:r>
    </w:p>
    <w:p>
      <w:pPr>
        <w:pStyle w:val="BodyText"/>
      </w:pPr>
      <w:r>
        <w:t xml:space="preserve">The appointed</w:t>
      </w:r>
      <w:r>
        <w:t xml:space="preserve"> </w:t>
      </w:r>
      <w:r>
        <w:t xml:space="preserve">Civil Engineer</w:t>
      </w:r>
      <w:r>
        <w:t xml:space="preserve"> </w:t>
      </w:r>
      <w:r>
        <w:t xml:space="preserve">shall hold a valid Class-1 Registered Structural Engineer license issued by the Ministry of Housing and Urban-Rural Development of the People's Republic of China, with a minimum of fifteen (15) years of documented experience in high-rise and mixed-use developments within the</w:t>
      </w:r>
      <w:r>
        <w:t xml:space="preserve"> </w:t>
      </w:r>
      <w:r>
        <w:t xml:space="preserve">China Shanghai</w:t>
      </w:r>
      <w:r>
        <w:t xml:space="preserve"> </w:t>
      </w:r>
      <w:r>
        <w:t xml:space="preserve">metropolitan area. All deliverables produced under this engagement will be prepared in accordance with the latest editions of the Chinese national codes and the Shanghai local supplementary standards.</w:t>
      </w:r>
    </w:p>
    <w:bookmarkEnd w:id="22"/>
    <w:bookmarkStart w:id="23" w:name="itemized-cost-breakdown"/>
    <w:p>
      <w:pPr>
        <w:pStyle w:val="Heading3"/>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Civil Engineer Service</w:t>
            </w:r>
          </w:p>
        </w:tc>
        <w:tc>
          <w:tcPr/>
          <w:p>
            <w:pPr>
              <w:pStyle w:val="Compact"/>
              <w:jc w:val="left"/>
            </w:pPr>
            <w:r>
              <w:t xml:space="preserve">Duration / Qty</w:t>
            </w:r>
          </w:p>
        </w:tc>
        <w:tc>
          <w:tcPr/>
          <w:p>
            <w:pPr>
              <w:pStyle w:val="Compact"/>
              <w:jc w:val="left"/>
            </w:pPr>
            <w:r>
              <w:t xml:space="preserve">Unit Rate (CNY)</w:t>
            </w:r>
          </w:p>
        </w:tc>
        <w:tc>
          <w:tcPr/>
          <w:p>
            <w:pPr>
              <w:pStyle w:val="Compact"/>
              <w:jc w:val="left"/>
            </w:pPr>
            <w:r>
              <w:t xml:space="preserve">Amount (CNY)</w:t>
            </w:r>
          </w:p>
        </w:tc>
      </w:tr>
      <w:tr>
        <w:tc>
          <w:tcPr/>
          <w:p>
            <w:pPr>
              <w:pStyle w:val="Compact"/>
              <w:jc w:val="left"/>
            </w:pPr>
            <w:r>
              <w:t xml:space="preserve">1</w:t>
            </w:r>
          </w:p>
        </w:tc>
        <w:tc>
          <w:tcPr/>
          <w:p>
            <w:pPr>
              <w:pStyle w:val="Compact"/>
              <w:jc w:val="left"/>
            </w:pPr>
            <w:r>
              <w:t xml:space="preserve">Senior Civil Engineer — Structural Design Review &amp; Verification (Huangpu District site)</w:t>
            </w:r>
          </w:p>
        </w:tc>
        <w:tc>
          <w:tcPr/>
          <w:p>
            <w:pPr>
              <w:pStyle w:val="Compact"/>
              <w:jc w:val="left"/>
            </w:pPr>
            <w:r>
              <w:t xml:space="preserve">120 man-days</w:t>
            </w:r>
          </w:p>
        </w:tc>
        <w:tc>
          <w:tcPr/>
          <w:p>
            <w:pPr>
              <w:pStyle w:val="Compact"/>
              <w:jc w:val="left"/>
            </w:pPr>
            <w:r>
              <w:t xml:space="preserve">¥ 2,800</w:t>
            </w:r>
          </w:p>
        </w:tc>
        <w:tc>
          <w:tcPr/>
          <w:p>
            <w:pPr>
              <w:pStyle w:val="Compact"/>
              <w:jc w:val="left"/>
            </w:pPr>
            <w:r>
              <w:t xml:space="preserve">¥ 336,000</w:t>
            </w:r>
          </w:p>
        </w:tc>
      </w:tr>
      <w:tr>
        <w:tc>
          <w:tcPr/>
          <w:p>
            <w:pPr>
              <w:pStyle w:val="Compact"/>
              <w:jc w:val="left"/>
            </w:pPr>
            <w:r>
              <w:t xml:space="preserve">2</w:t>
            </w:r>
          </w:p>
        </w:tc>
        <w:tc>
          <w:tcPr/>
          <w:p>
            <w:pPr>
              <w:pStyle w:val="Compact"/>
              <w:jc w:val="left"/>
            </w:pPr>
            <w:r>
              <w:t xml:space="preserve">Geotechnical Investigation Coordination &amp; Foundation Engineering Assessment</w:t>
            </w:r>
          </w:p>
        </w:tc>
        <w:tc>
          <w:tcPr/>
          <w:p>
            <w:pPr>
              <w:pStyle w:val="Compact"/>
              <w:jc w:val="left"/>
            </w:pPr>
            <w:r>
              <w:t xml:space="preserve">45 man-days</w:t>
            </w:r>
          </w:p>
        </w:tc>
        <w:tc>
          <w:tcPr/>
          <w:p>
            <w:pPr>
              <w:pStyle w:val="Compact"/>
              <w:jc w:val="left"/>
            </w:pPr>
            <w:r>
              <w:t xml:space="preserve">¥ 2,400</w:t>
            </w:r>
          </w:p>
        </w:tc>
        <w:tc>
          <w:tcPr/>
          <w:p>
            <w:pPr>
              <w:pStyle w:val="Compact"/>
              <w:jc w:val="left"/>
            </w:pPr>
            <w:r>
              <w:t xml:space="preserve">¥ 108,000</w:t>
            </w:r>
          </w:p>
        </w:tc>
      </w:tr>
      <w:tr>
        <w:tc>
          <w:tcPr/>
          <w:p>
            <w:pPr>
              <w:pStyle w:val="Compact"/>
              <w:jc w:val="left"/>
            </w:pPr>
            <w:r>
              <w:t xml:space="preserve">3</w:t>
            </w:r>
          </w:p>
        </w:tc>
        <w:tc>
          <w:tcPr/>
          <w:p>
            <w:pPr>
              <w:pStyle w:val="Compact"/>
              <w:jc w:val="left"/>
            </w:pPr>
            <w:r>
              <w:t xml:space="preserve">Construction Phase Supervision — Civil Engineer On-Site Inspection (weekly visits)</w:t>
            </w:r>
          </w:p>
        </w:tc>
        <w:tc>
          <w:tcPr/>
          <w:p>
            <w:pPr>
              <w:pStyle w:val="Compact"/>
              <w:jc w:val="left"/>
            </w:pPr>
            <w:r>
              <w:t xml:space="preserve">52 weeks</w:t>
            </w:r>
          </w:p>
        </w:tc>
        <w:tc>
          <w:tcPr/>
          <w:p>
            <w:pPr>
              <w:pStyle w:val="Compact"/>
              <w:jc w:val="left"/>
            </w:pPr>
            <w:r>
              <w:t xml:space="preserve">¥ 6,500</w:t>
            </w:r>
          </w:p>
        </w:tc>
        <w:tc>
          <w:tcPr/>
          <w:p>
            <w:pPr>
              <w:pStyle w:val="Compact"/>
              <w:jc w:val="left"/>
            </w:pPr>
            <w:r>
              <w:t xml:space="preserve">¥ 338,000</w:t>
            </w:r>
          </w:p>
        </w:tc>
      </w:tr>
      <w:tr>
        <w:tc>
          <w:tcPr/>
          <w:p>
            <w:pPr>
              <w:pStyle w:val="Compact"/>
              <w:jc w:val="left"/>
            </w:pPr>
            <w:r>
              <w:t xml:space="preserve">4</w:t>
            </w:r>
          </w:p>
        </w:tc>
        <w:tc>
          <w:tcPr/>
          <w:p>
            <w:pPr>
              <w:pStyle w:val="Compact"/>
              <w:jc w:val="left"/>
            </w:pPr>
            <w:r>
              <w:t xml:space="preserve">Seismic Design Compliance Audit per GB 50011-2010 (Shanghai Zone II)</w:t>
            </w:r>
          </w:p>
        </w:tc>
        <w:tc>
          <w:tcPr/>
          <w:p>
            <w:pPr>
              <w:pStyle w:val="Compact"/>
              <w:jc w:val="left"/>
            </w:pPr>
            <w:r>
              <w:t xml:space="preserve">30 man-days</w:t>
            </w:r>
          </w:p>
        </w:tc>
        <w:tc>
          <w:tcPr/>
          <w:p>
            <w:pPr>
              <w:pStyle w:val="Compact"/>
              <w:jc w:val="left"/>
            </w:pPr>
            <w:r>
              <w:t xml:space="preserve">¥ 3,200</w:t>
            </w:r>
          </w:p>
        </w:tc>
        <w:tc>
          <w:tcPr/>
          <w:p>
            <w:pPr>
              <w:pStyle w:val="Compact"/>
              <w:jc w:val="left"/>
            </w:pPr>
            <w:r>
              <w:t xml:space="preserve">¥ 96,000</w:t>
            </w:r>
          </w:p>
        </w:tc>
      </w:tr>
      <w:tr>
        <w:tc>
          <w:tcPr/>
          <w:p>
            <w:pPr>
              <w:pStyle w:val="Compact"/>
              <w:jc w:val="left"/>
            </w:pPr>
            <w:r>
              <w:t xml:space="preserve">5</w:t>
            </w:r>
          </w:p>
        </w:tc>
        <w:tc>
          <w:tcPr/>
          <w:p>
            <w:pPr>
              <w:pStyle w:val="Compact"/>
              <w:jc w:val="left"/>
            </w:pPr>
            <w:r>
              <w:t xml:space="preserve">As-Built Documentation &amp; Final Handover Report Preparation</w:t>
            </w:r>
          </w:p>
        </w:tc>
        <w:tc>
          <w:tcPr/>
          <w:p>
            <w:pPr>
              <w:pStyle w:val="Compact"/>
              <w:jc w:val="left"/>
            </w:pPr>
            <w:r>
              <w:t xml:space="preserve">25 man-days</w:t>
            </w:r>
          </w:p>
        </w:tc>
        <w:tc>
          <w:tcPr/>
          <w:p>
            <w:pPr>
              <w:pStyle w:val="Compact"/>
              <w:jc w:val="left"/>
            </w:pPr>
            <w:r>
              <w:t xml:space="preserve">¥ 2,000</w:t>
            </w:r>
          </w:p>
        </w:tc>
        <w:tc>
          <w:tcPr/>
          <w:p>
            <w:pPr>
              <w:pStyle w:val="Compact"/>
              <w:jc w:val="left"/>
            </w:pPr>
            <w:r>
              <w:t xml:space="preserve">¥ 50,000</w:t>
            </w:r>
          </w:p>
        </w:tc>
      </w:tr>
      <w:tr>
        <w:tc>
          <w:tcPr/>
          <w:p>
            <w:pPr>
              <w:pStyle w:val="Compact"/>
              <w:jc w:val="left"/>
            </w:pPr>
            <w:r>
              <w:t xml:space="preserve">6</w:t>
            </w:r>
          </w:p>
        </w:tc>
        <w:tc>
          <w:tcPr/>
          <w:p>
            <w:pPr>
              <w:pStyle w:val="Compact"/>
              <w:jc w:val="left"/>
            </w:pPr>
            <w:r>
              <w:t xml:space="preserve">Coordination with Shanghai Municipal Planning Bureau &amp; Local Regulatory Authorities</w:t>
            </w:r>
          </w:p>
        </w:tc>
        <w:tc>
          <w:tcPr/>
          <w:p>
            <w:pPr>
              <w:pStyle w:val="Compact"/>
              <w:jc w:val="left"/>
            </w:pPr>
            <w:r>
              <w:t xml:space="preserve">20 man-days</w:t>
            </w:r>
          </w:p>
        </w:tc>
        <w:tc>
          <w:tcPr/>
          <w:p>
            <w:pPr>
              <w:pStyle w:val="Compact"/>
              <w:jc w:val="left"/>
            </w:pPr>
            <w:r>
              <w:t xml:space="preserve">¥ 2,600</w:t>
            </w:r>
          </w:p>
        </w:tc>
        <w:tc>
          <w:tcPr/>
          <w:p>
            <w:pPr>
              <w:pStyle w:val="Compact"/>
              <w:jc w:val="left"/>
            </w:pPr>
            <w:r>
              <w:t xml:space="preserve">¥ 52,000</w:t>
            </w:r>
          </w:p>
        </w:tc>
      </w:tr>
      <w:tr>
        <w:tc>
          <w:tcPr/>
          <w:p>
            <w:pPr>
              <w:pStyle w:val="Compact"/>
              <w:jc w:val="left"/>
            </w:pPr>
            <w:r>
              <w:t xml:space="preserve">7</w:t>
            </w:r>
          </w:p>
        </w:tc>
        <w:tc>
          <w:tcPr/>
          <w:p>
            <w:pPr>
              <w:pStyle w:val="Compact"/>
              <w:jc w:val="left"/>
            </w:pPr>
            <w:r>
              <w:t xml:space="preserve">Travel, Accommodation &amp; Local Logistics within China Shanghai</w:t>
            </w:r>
          </w:p>
        </w:tc>
        <w:tc>
          <w:tcPr/>
          <w:p>
            <w:pPr>
              <w:pStyle w:val="Compact"/>
              <w:jc w:val="left"/>
            </w:pPr>
            <w:r>
              <w:t xml:space="preserve">12 months</w:t>
            </w:r>
          </w:p>
        </w:tc>
        <w:tc>
          <w:tcPr/>
          <w:p>
            <w:pPr>
              <w:pStyle w:val="Compact"/>
              <w:jc w:val="left"/>
            </w:pPr>
            <w:r>
              <w:t xml:space="preserve">¥ 4,500</w:t>
            </w:r>
          </w:p>
        </w:tc>
        <w:tc>
          <w:tcPr/>
          <w:p>
            <w:pPr>
              <w:pStyle w:val="Compact"/>
              <w:jc w:val="left"/>
            </w:pPr>
            <w:r>
              <w:t xml:space="preserve">¥ 54,000</w:t>
            </w:r>
          </w:p>
        </w:tc>
      </w:tr>
      <w:tr>
        <w:tc>
          <w:tcPr/>
          <w:p>
            <w:pPr>
              <w:pStyle w:val="Compact"/>
              <w:jc w:val="left"/>
            </w:pPr>
            <w:r>
              <w:t xml:space="preserve">8</w:t>
            </w:r>
          </w:p>
        </w:tc>
        <w:tc>
          <w:tcPr/>
          <w:p>
            <w:pPr>
              <w:pStyle w:val="Compact"/>
              <w:jc w:val="left"/>
            </w:pPr>
            <w:r>
              <w:t xml:space="preserve">Professional Indemnity Insurance &amp; Licensing Fees (annual)</w:t>
            </w:r>
          </w:p>
        </w:tc>
        <w:tc>
          <w:tcPr/>
          <w:p>
            <w:pPr>
              <w:pStyle w:val="Compact"/>
              <w:jc w:val="left"/>
            </w:pPr>
            <w:r>
              <w:t xml:space="preserve">1 policy</w:t>
            </w:r>
          </w:p>
        </w:tc>
        <w:tc>
          <w:tcPr/>
          <w:p>
            <w:pPr>
              <w:pStyle w:val="Compact"/>
              <w:jc w:val="left"/>
            </w:pPr>
            <w:r>
              <w:t xml:space="preserve">¥ 38,000</w:t>
            </w:r>
          </w:p>
        </w:tc>
        <w:tc>
          <w:tcPr/>
          <w:p>
            <w:pPr>
              <w:pStyle w:val="Compact"/>
              <w:jc w:val="left"/>
            </w:pPr>
            <w:r>
              <w:t xml:space="preserve">¥ 38,000</w:t>
            </w:r>
          </w:p>
        </w:tc>
      </w:tr>
      <w:tr>
        <w:tc>
          <w:tcPr>
            <w:gridSpan w:val="4"/>
          </w:tcPr>
          <w:p>
            <w:pPr>
              <w:pStyle w:val="Compact"/>
              <w:jc w:val="right"/>
            </w:pPr>
            <w:r>
              <w:t xml:space="preserve">Subtotal (CNY)</w:t>
            </w:r>
          </w:p>
        </w:tc>
        <w:tc>
          <w:tcPr/>
          <w:p>
            <w:pPr>
              <w:pStyle w:val="Compact"/>
              <w:jc w:val="left"/>
            </w:pPr>
            <w:r>
              <w:t xml:space="preserve">¥ 1,072,000</w:t>
            </w:r>
          </w:p>
        </w:tc>
      </w:tr>
      <w:tr>
        <w:tc>
          <w:tcPr>
            <w:gridSpan w:val="4"/>
          </w:tcPr>
          <w:p>
            <w:pPr>
              <w:pStyle w:val="Compact"/>
              <w:jc w:val="right"/>
            </w:pPr>
            <w:r>
              <w:t xml:space="preserve">VAT (6% — Professional Services, PRC)</w:t>
            </w:r>
          </w:p>
        </w:tc>
        <w:tc>
          <w:tcPr/>
          <w:p>
            <w:pPr>
              <w:pStyle w:val="Compact"/>
              <w:jc w:val="left"/>
            </w:pPr>
            <w:r>
              <w:t xml:space="preserve">¥ 64,320</w:t>
            </w:r>
          </w:p>
        </w:tc>
      </w:tr>
      <w:tr>
        <w:tc>
          <w:tcPr>
            <w:gridSpan w:val="4"/>
          </w:tcPr>
          <w:p>
            <w:pPr>
              <w:pStyle w:val="Compact"/>
              <w:jc w:val="right"/>
            </w:pPr>
            <w:r>
              <w:t xml:space="preserve">TOTAL QUOTATION ESTIMATE (CNY)</w:t>
            </w:r>
          </w:p>
        </w:tc>
        <w:tc>
          <w:tcPr/>
          <w:p>
            <w:pPr>
              <w:pStyle w:val="Compact"/>
              <w:jc w:val="left"/>
            </w:pPr>
            <w:r>
              <w:t xml:space="preserve">¥ 1,136,320</w:t>
            </w:r>
          </w:p>
        </w:tc>
      </w:tr>
    </w:tbl>
    <w:bookmarkEnd w:id="23"/>
    <w:bookmarkStart w:id="24" w:name="payment-terms"/>
    <w:p>
      <w:pPr>
        <w:pStyle w:val="Heading3"/>
      </w:pPr>
      <w:r>
        <w:t xml:space="preserve">3. Payment Terms</w:t>
      </w:r>
    </w:p>
    <w:p>
      <w:pPr>
        <w:numPr>
          <w:ilvl w:val="0"/>
          <w:numId w:val="1001"/>
        </w:numPr>
        <w:pStyle w:val="Compact"/>
      </w:pPr>
      <w:r>
        <w:rPr>
          <w:bCs/>
          <w:b/>
        </w:rPr>
        <w:t xml:space="preserve">30%</w:t>
      </w:r>
      <w:r>
        <w:t xml:space="preserve"> </w:t>
      </w:r>
      <w:r>
        <w:t xml:space="preserve">advance payment upon execution of the service agreement: ¥ 340,896</w:t>
      </w:r>
    </w:p>
    <w:p>
      <w:pPr>
        <w:numPr>
          <w:ilvl w:val="0"/>
          <w:numId w:val="1001"/>
        </w:numPr>
        <w:pStyle w:val="Compact"/>
      </w:pPr>
      <w:r>
        <w:rPr>
          <w:bCs/>
          <w:b/>
        </w:rPr>
        <w:t xml:space="preserve">40%</w:t>
      </w:r>
      <w:r>
        <w:t xml:space="preserve"> </w:t>
      </w:r>
      <w:r>
        <w:t xml:space="preserve">upon completion of structural design review and geotechnical assessment: ¥ 454,528</w:t>
      </w:r>
    </w:p>
    <w:p>
      <w:pPr>
        <w:numPr>
          <w:ilvl w:val="0"/>
          <w:numId w:val="1001"/>
        </w:numPr>
        <w:pStyle w:val="Compact"/>
      </w:pPr>
      <w:r>
        <w:rPr>
          <w:bCs/>
          <w:b/>
        </w:rPr>
        <w:t xml:space="preserve">20%</w:t>
      </w:r>
      <w:r>
        <w:t xml:space="preserve"> </w:t>
      </w:r>
      <w:r>
        <w:t xml:space="preserve">upon completion of construction supervision phase: ¥ 227,264</w:t>
      </w:r>
    </w:p>
    <w:p>
      <w:pPr>
        <w:numPr>
          <w:ilvl w:val="0"/>
          <w:numId w:val="1001"/>
        </w:numPr>
        <w:pStyle w:val="Compact"/>
      </w:pPr>
      <w:r>
        <w:rPr>
          <w:bCs/>
          <w:b/>
        </w:rPr>
        <w:t xml:space="preserve">10%</w:t>
      </w:r>
      <w:r>
        <w:t xml:space="preserve"> </w:t>
      </w:r>
      <w:r>
        <w:t xml:space="preserve">upon delivery of final as-built documentation and handover: ¥ 113,632</w:t>
      </w:r>
    </w:p>
    <w:p>
      <w:pPr>
        <w:pStyle w:val="FirstParagraph"/>
      </w:pPr>
      <w:r>
        <w:t xml:space="preserve">All payments shall be made via bank transfer to the company account at Bank of China, Pudong Branch, Shanghai. Invoices will be issued in accordance with the PRC Electronic Invoice (fapiao) regulations.</w:t>
      </w:r>
    </w:p>
    <w:bookmarkEnd w:id="24"/>
    <w:bookmarkStart w:id="25" w:name="terms-conditions"/>
    <w:p>
      <w:pPr>
        <w:pStyle w:val="Heading3"/>
      </w:pPr>
      <w:r>
        <w:t xml:space="preserve">4. Terms &amp;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Beyond this period, rates may be revised to reflect market conditions in</w:t>
      </w:r>
      <w:r>
        <w:t xml:space="preserve"> </w:t>
      </w:r>
      <w:r>
        <w:t xml:space="preserve">China Shanghai</w:t>
      </w:r>
      <w:r>
        <w:t xml:space="preserve">.</w:t>
      </w:r>
    </w:p>
    <w:p>
      <w:pPr>
        <w:numPr>
          <w:ilvl w:val="0"/>
          <w:numId w:val="1002"/>
        </w:numPr>
        <w:pStyle w:val="Compact"/>
      </w:pPr>
      <w:r>
        <w:t xml:space="preserve">The</w:t>
      </w:r>
      <w:r>
        <w:t xml:space="preserve"> </w:t>
      </w:r>
      <w:r>
        <w:t xml:space="preserve">Civil Engineer</w:t>
      </w:r>
      <w:r>
        <w:t xml:space="preserve"> </w:t>
      </w:r>
      <w:r>
        <w:t xml:space="preserve">and all supporting personnel shall comply with the Labor Law of the People's Republic of China and applicable Shanghai municipal employment regulations.</w:t>
      </w:r>
    </w:p>
    <w:p>
      <w:pPr>
        <w:numPr>
          <w:ilvl w:val="0"/>
          <w:numId w:val="1002"/>
        </w:numPr>
        <w:pStyle w:val="Compact"/>
      </w:pPr>
      <w:r>
        <w:t xml:space="preserve">Any change in scope exceeding 10% of the original work volume will require a written amendment to this quotation, signed by both parties.</w:t>
      </w:r>
    </w:p>
    <w:p>
      <w:pPr>
        <w:numPr>
          <w:ilvl w:val="0"/>
          <w:numId w:val="1002"/>
        </w:numPr>
        <w:pStyle w:val="Compact"/>
      </w:pPr>
      <w:r>
        <w:t xml:space="preserve">Intellectual property rights for all design documents, reports, and calculations produced under this engagement shall vest in the client upon full payment.</w:t>
      </w:r>
    </w:p>
    <w:p>
      <w:pPr>
        <w:numPr>
          <w:ilvl w:val="0"/>
          <w:numId w:val="1002"/>
        </w:numPr>
        <w:pStyle w:val="Compact"/>
      </w:pPr>
      <w:r>
        <w:t xml:space="preserve">Disputes arising from this agreement shall be resolved through arbitration at the Shanghai International Arbitration Center (SHIAC) in accordance with its rules of procedure.</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a formal Service Agreement is executed by both parties.</w:t>
      </w:r>
    </w:p>
    <w:bookmarkEnd w:id="25"/>
    <w:bookmarkStart w:id="26" w:name="acceptance-authorization"/>
    <w:p>
      <w:pPr>
        <w:pStyle w:val="Heading3"/>
      </w:pPr>
      <w:r>
        <w:t xml:space="preserve">5. Acceptance &amp;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Civil Engineer</w:t>
      </w:r>
      <w:r>
        <w:t xml:space="preserve"> </w:t>
      </w:r>
      <w:r>
        <w:t xml:space="preserve">services in</w:t>
      </w:r>
      <w:r>
        <w:t xml:space="preserve"> </w:t>
      </w:r>
      <w:r>
        <w:t xml:space="preserve">China Shanghai</w:t>
      </w:r>
      <w:r>
        <w:t xml:space="preserve">.</w:t>
      </w:r>
    </w:p>
    <w:p>
      <w:pPr>
        <w:pStyle w:val="BodyText"/>
      </w:pPr>
      <w:r>
        <w:rPr>
          <w:bCs/>
          <w:b/>
        </w:rPr>
        <w:t xml:space="preserve">For: Shanghai Meridian Engineering Consultants Co., Ltd.</w:t>
      </w:r>
    </w:p>
    <w:p>
      <w:pPr>
        <w:pStyle w:val="BodyText"/>
      </w:pPr>
      <w:r>
        <w:t xml:space="preserve">Name: Chen Weiming, P.Eng.</w:t>
      </w:r>
    </w:p>
    <w:p>
      <w:pPr>
        <w:pStyle w:val="BodyText"/>
      </w:pPr>
      <w:r>
        <w:t xml:space="preserve">Title: Principal Civil Engineer / Director</w:t>
      </w:r>
    </w:p>
    <w:p>
      <w:pPr>
        <w:pStyle w:val="BodyText"/>
      </w:pPr>
      <w:r>
        <w:t xml:space="preserve">Date: _______________</w:t>
      </w:r>
    </w:p>
    <w:p>
      <w:pPr>
        <w:pStyle w:val="BodyText"/>
      </w:pPr>
      <w:r>
        <w:rPr>
          <w:bCs/>
          <w:b/>
        </w:rPr>
        <w:t xml:space="preserve">For: Shanghai Riverside Development Group Co., Ltd.</w:t>
      </w:r>
    </w:p>
    <w:p>
      <w:pPr>
        <w:pStyle w:val="BodyText"/>
      </w:pPr>
      <w:r>
        <w:t xml:space="preserve">Name: _________________________</w:t>
      </w:r>
    </w:p>
    <w:p>
      <w:pPr>
        <w:pStyle w:val="BodyText"/>
      </w:pPr>
      <w:r>
        <w:t xml:space="preserve">Title: _________________________</w:t>
      </w:r>
    </w:p>
    <w:p>
      <w:pPr>
        <w:pStyle w:val="BodyText"/>
      </w:pPr>
      <w:r>
        <w:t xml:space="preserve">Date: _______________</w:t>
      </w:r>
    </w:p>
    <w:p>
      <w:pPr>
        <w:pStyle w:val="BodyText"/>
      </w:pPr>
      <w:r>
        <w:t xml:space="preserve">This Quotation Estimate document is generated for the exclusive use of the addressee. Unauthorized reproduction or distribution is prohibited. © 2025 Shanghai Meridian Engineering Consultants Co., Ltd. All rights reserved. Document Ref: QTE-2025-SH-0472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Civil Engineer Services - China Shanghai</dc:title>
  <dc:creator/>
  <dc:language>en</dc:language>
  <cp:keywords/>
  <dcterms:created xsi:type="dcterms:W3CDTF">2026-10-10T06:24:00Z</dcterms:created>
  <dcterms:modified xsi:type="dcterms:W3CDTF">2026-10-10T06:24:00Z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