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1" w:name="quotation-estimate"/>
    <w:p>
      <w:pPr>
        <w:pStyle w:val="Heading1"/>
      </w:pPr>
      <w:r>
        <w:t xml:space="preserve">QUOTATION ESTIMATE</w:t>
      </w:r>
    </w:p>
    <w:bookmarkStart w:id="20" w:name="civil-engineer-professional-services"/>
    <w:p>
      <w:pPr>
        <w:pStyle w:val="Heading2"/>
      </w:pPr>
      <w:r>
        <w:t xml:space="preserve">Civil Engineer Professional Services</w:t>
      </w:r>
    </w:p>
    <w:p>
      <w:pPr>
        <w:pStyle w:val="FirstParagraph"/>
      </w:pPr>
      <w:r>
        <w:t xml:space="preserve">Ref: QE-CAIRO-2025-0472</w:t>
      </w:r>
    </w:p>
    <w:p>
      <w:pPr>
        <w:pStyle w:val="BodyText"/>
      </w:pPr>
      <w:r>
        <w:t xml:space="preserve">Date of Issue: 15 June 2025  |  Valid Until: 15 July 2025</w:t>
      </w:r>
    </w:p>
    <w:p>
      <w:pPr>
        <w:pStyle w:val="BodyText"/>
      </w:pPr>
      <w:r>
        <w:t xml:space="preserve">Location: Egypt Cairo, New Administrative Capital District</w:t>
      </w:r>
    </w:p>
    <w:bookmarkEnd w:id="20"/>
    <w:bookmarkEnd w:id="21"/>
    <w:bookmarkStart w:id="22" w:name="prepared-by-civil-engineer-firm"/>
    <w:p>
      <w:pPr>
        <w:pStyle w:val="Heading4"/>
      </w:pPr>
      <w:r>
        <w:t xml:space="preserve">Prepared By (Civil Engineer Firm)</w:t>
      </w:r>
    </w:p>
    <w:p>
      <w:pPr>
        <w:pStyle w:val="FirstParagraph"/>
      </w:pPr>
      <w:r>
        <w:rPr>
          <w:bCs/>
          <w:b/>
        </w:rPr>
        <w:t xml:space="preserve">Nile Delta Civil Engineering Consultants</w:t>
      </w:r>
    </w:p>
    <w:p>
      <w:pPr>
        <w:pStyle w:val="BodyText"/>
      </w:pPr>
      <w:r>
        <w:t xml:space="preserve">License No.: EGY-CE-2019-4482</w:t>
      </w:r>
    </w:p>
    <w:p>
      <w:pPr>
        <w:pStyle w:val="BodyText"/>
      </w:pPr>
      <w:r>
        <w:t xml:space="preserve">Address: 142 El Tahrir Street, Downtown, Egypt Cairo</w:t>
      </w:r>
    </w:p>
    <w:p>
      <w:pPr>
        <w:pStyle w:val="BodyText"/>
      </w:pPr>
      <w:r>
        <w:t xml:space="preserve">Tel: +20 2 2578 4431</w:t>
      </w:r>
    </w:p>
    <w:p>
      <w:pPr>
        <w:pStyle w:val="BodyText"/>
      </w:pPr>
      <w:r>
        <w:t xml:space="preserve">Email: projects@niledelta-ce.com.eg</w:t>
      </w:r>
    </w:p>
    <w:bookmarkEnd w:id="22"/>
    <w:bookmarkStart w:id="23" w:name="prepared-for-client"/>
    <w:p>
      <w:pPr>
        <w:pStyle w:val="Heading4"/>
      </w:pPr>
      <w:r>
        <w:t xml:space="preserve">Prepared For (Client)</w:t>
      </w:r>
    </w:p>
    <w:p>
      <w:pPr>
        <w:pStyle w:val="FirstParagraph"/>
      </w:pPr>
      <w:r>
        <w:rPr>
          <w:bCs/>
          <w:b/>
        </w:rPr>
        <w:t xml:space="preserve">Al-Nile Real Estate Development Co.</w:t>
      </w:r>
    </w:p>
    <w:p>
      <w:pPr>
        <w:pStyle w:val="BodyText"/>
      </w:pPr>
      <w:r>
        <w:t xml:space="preserve">Commercial Reg. No.: 882341</w:t>
      </w:r>
    </w:p>
    <w:p>
      <w:pPr>
        <w:pStyle w:val="BodyText"/>
      </w:pPr>
      <w:r>
        <w:t xml:space="preserve">Address: 77 Corniche El Nil, Zamalek, Egypt Cairo</w:t>
      </w:r>
    </w:p>
    <w:p>
      <w:pPr>
        <w:pStyle w:val="BodyText"/>
      </w:pPr>
      <w:r>
        <w:t xml:space="preserve">Tel: +20 2 2735 9910</w:t>
      </w:r>
    </w:p>
    <w:p>
      <w:pPr>
        <w:pStyle w:val="BodyText"/>
      </w:pPr>
      <w:r>
        <w:t xml:space="preserve">Email: procurement@alnile-re.com</w:t>
      </w:r>
    </w:p>
    <w:bookmarkEnd w:id="23"/>
    <w:p>
      <w:pPr>
        <w:pStyle w:val="BodyText"/>
      </w:pPr>
      <w:r>
        <w:t xml:space="preserve">1. Project Overview</w:t>
      </w:r>
    </w:p>
    <w:p>
      <w:pPr>
        <w:pStyle w:val="BodyText"/>
      </w:pPr>
      <w:r>
        <w:t xml:space="preserve">This Quotation Estimate is issued by Nile Delta Civil Engineering Consultants in response to the formal request for professional Civil Engineer services for the design, structural analysis, and construction supervision of a mixed-use residential and commercial complex located in the New Administrative Capital area of Egypt Cairo. The project encompasses a 12-story building with a basement parking level, ground-floor retail spaces, and residential units spanning floors two through twelve. The total built-up area is approximately 18,500 square meters, and the structure will be designed in full compliance with the Egyptian Building Code (EBC 2021), the Egyptian Seismic Design Code, and all applicable municipal regulations enforced by the Cairo Governorate and the New Capital Authority.</w:t>
      </w:r>
    </w:p>
    <w:p>
      <w:pPr>
        <w:pStyle w:val="BodyText"/>
      </w:pPr>
      <w:r>
        <w:t xml:space="preserve">2. Scope of Civil Engineer Services</w:t>
      </w:r>
    </w:p>
    <w:p>
      <w:pPr>
        <w:pStyle w:val="BodyText"/>
      </w:pPr>
      <w:r>
        <w:t xml:space="preserve">The following scope of work defines the complete set of professional services that our team of licensed Civil Engineer specialists will deliver under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Geotechnical site investigation coordination and soil report review for the Egypt Cairo project site</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Architectural and structural design drawings (foundation, columns, beams, slabs, stairs, and retaining walls)</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Structural analysis and finite element modeling using ETABS and SAP2000 software</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MEP (Mechanical, Electrical, Plumbing) coordination with structural elements</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05</w:t>
            </w:r>
          </w:p>
        </w:tc>
        <w:tc>
          <w:tcPr/>
          <w:p>
            <w:pPr>
              <w:pStyle w:val="Compact"/>
              <w:jc w:val="left"/>
            </w:pPr>
            <w:r>
              <w:t xml:space="preserve">Construction supervision and site inspection (full-time Civil Engineer resident on site)</w:t>
            </w:r>
          </w:p>
        </w:tc>
        <w:tc>
          <w:tcPr/>
          <w:p>
            <w:pPr>
              <w:pStyle w:val="Compact"/>
              <w:jc w:val="left"/>
            </w:pPr>
            <w:r>
              <w:t xml:space="preserve">24 months</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Material testing coordination (concrete, rebar, soil compaction) per Egyptian standards</w:t>
            </w:r>
          </w:p>
        </w:tc>
        <w:tc>
          <w:tcPr/>
          <w:p>
            <w:pPr>
              <w:pStyle w:val="Compact"/>
              <w:jc w:val="left"/>
            </w:pPr>
            <w:r>
              <w:t xml:space="preserve">24 months</w:t>
            </w:r>
          </w:p>
        </w:tc>
        <w:tc>
          <w:tcPr/>
          <w:p>
            <w:pPr>
              <w:pStyle w:val="Compact"/>
              <w:jc w:val="left"/>
            </w:pPr>
            <w:r>
              <w:t xml:space="preserve">Monthly</w:t>
            </w:r>
          </w:p>
        </w:tc>
        <w:tc>
          <w:tcPr/>
          <w:p>
            <w:pPr>
              <w:pStyle w:val="Compact"/>
              <w:jc w:val="left"/>
            </w:pPr>
            <w:r>
              <w:t xml:space="preserve">38,000</w:t>
            </w:r>
          </w:p>
        </w:tc>
        <w:tc>
          <w:tcPr/>
          <w:p>
            <w:pPr>
              <w:pStyle w:val="Compact"/>
              <w:jc w:val="left"/>
            </w:pPr>
            <w:r>
              <w:t xml:space="preserve">912,000</w:t>
            </w:r>
          </w:p>
        </w:tc>
      </w:tr>
      <w:tr>
        <w:tc>
          <w:tcPr/>
          <w:p>
            <w:pPr>
              <w:pStyle w:val="Compact"/>
              <w:jc w:val="left"/>
            </w:pPr>
            <w:r>
              <w:t xml:space="preserve">07</w:t>
            </w:r>
          </w:p>
        </w:tc>
        <w:tc>
          <w:tcPr/>
          <w:p>
            <w:pPr>
              <w:pStyle w:val="Compact"/>
              <w:jc w:val="left"/>
            </w:pPr>
            <w:r>
              <w:t xml:space="preserve">As-built documentation and final handover report preparation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Regulatory approvals and permit submissions to Egypt Cairo municipal authorities</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260,000</w:t>
            </w:r>
          </w:p>
        </w:tc>
        <w:tc>
          <w:tcPr/>
          <w:p>
            <w:pPr>
              <w:pStyle w:val="Compact"/>
              <w:jc w:val="left"/>
            </w:pPr>
            <w:r>
              <w:t xml:space="preserve">260,000</w:t>
            </w:r>
          </w:p>
        </w:tc>
      </w:tr>
      <w:tr>
        <w:tc>
          <w:tcPr>
            <w:gridSpan w:val="5"/>
          </w:tcPr>
          <w:p>
            <w:pPr>
              <w:pStyle w:val="Compact"/>
              <w:jc w:val="left"/>
            </w:pPr>
            <w:r>
              <w:t xml:space="preserve">Subtotal</w:t>
            </w:r>
          </w:p>
        </w:tc>
        <w:tc>
          <w:tcPr/>
          <w:p>
            <w:pPr>
              <w:pStyle w:val="Compact"/>
              <w:jc w:val="left"/>
            </w:pPr>
            <w:r>
              <w:t xml:space="preserve">5,792,000</w:t>
            </w:r>
          </w:p>
        </w:tc>
      </w:tr>
      <w:tr>
        <w:tc>
          <w:tcPr>
            <w:gridSpan w:val="5"/>
          </w:tcPr>
          <w:p>
            <w:pPr>
              <w:pStyle w:val="Compact"/>
              <w:jc w:val="left"/>
            </w:pPr>
            <w:r>
              <w:t xml:space="preserve">VAT (14% – Egyptian Tax Authority)</w:t>
            </w:r>
          </w:p>
        </w:tc>
        <w:tc>
          <w:tcPr/>
          <w:p>
            <w:pPr>
              <w:pStyle w:val="Compact"/>
              <w:jc w:val="left"/>
            </w:pPr>
            <w:r>
              <w:t xml:space="preserve">810,880</w:t>
            </w:r>
          </w:p>
        </w:tc>
      </w:tr>
      <w:tr>
        <w:tc>
          <w:tcPr>
            <w:gridSpan w:val="5"/>
          </w:tcPr>
          <w:p>
            <w:pPr>
              <w:pStyle w:val="Compact"/>
              <w:jc w:val="left"/>
            </w:pPr>
            <w:r>
              <w:rPr>
                <w:bCs/>
                <w:b/>
              </w:rPr>
              <w:t xml:space="preserve">GRAND TOTAL (EGP)</w:t>
            </w:r>
          </w:p>
        </w:tc>
        <w:tc>
          <w:tcPr/>
          <w:p>
            <w:pPr>
              <w:pStyle w:val="Compact"/>
              <w:jc w:val="left"/>
            </w:pPr>
            <w:r>
              <w:rPr>
                <w:bCs/>
                <w:b/>
              </w:rPr>
              <w:t xml:space="preserve">6,602,880</w:t>
            </w:r>
          </w:p>
        </w:tc>
      </w:tr>
    </w:tbl>
    <w:p>
      <w:pPr>
        <w:pStyle w:val="BodyText"/>
      </w:pPr>
      <w:r>
        <w:t xml:space="preserve">3. Payment Schedule</w:t>
      </w:r>
    </w:p>
    <w:p>
      <w:pPr>
        <w:pStyle w:val="BodyText"/>
      </w:pPr>
      <w:r>
        <w:t xml:space="preserve">Payment for the services outlined in this Quotation Estimate shall be made in the following installments, subject to satisfactory completion of each milestone as verified by the client's project manager:</w:t>
      </w:r>
    </w:p>
    <w:p>
      <w:pPr>
        <w:numPr>
          <w:ilvl w:val="0"/>
          <w:numId w:val="1001"/>
        </w:numPr>
        <w:pStyle w:val="Compact"/>
      </w:pPr>
      <w:r>
        <w:rPr>
          <w:bCs/>
          <w:b/>
        </w:rPr>
        <w:t xml:space="preserve">Advance Payment (20%):</w:t>
      </w:r>
      <w:r>
        <w:t xml:space="preserve"> </w:t>
      </w:r>
      <w:r>
        <w:t xml:space="preserve">EGP 1,320,576 – payable within 10 business days of contract signing.</w:t>
      </w:r>
    </w:p>
    <w:p>
      <w:pPr>
        <w:numPr>
          <w:ilvl w:val="0"/>
          <w:numId w:val="1001"/>
        </w:numPr>
        <w:pStyle w:val="Compact"/>
      </w:pPr>
      <w:r>
        <w:rPr>
          <w:bCs/>
          <w:b/>
        </w:rPr>
        <w:t xml:space="preserve">Design Phase Completion (25%):</w:t>
      </w:r>
      <w:r>
        <w:t xml:space="preserve"> </w:t>
      </w:r>
      <w:r>
        <w:t xml:space="preserve">EGP 1,650,720 – payable upon submission and approval of all structural drawings.</w:t>
      </w:r>
    </w:p>
    <w:p>
      <w:pPr>
        <w:numPr>
          <w:ilvl w:val="0"/>
          <w:numId w:val="1001"/>
        </w:numPr>
        <w:pStyle w:val="Compact"/>
      </w:pPr>
      <w:r>
        <w:rPr>
          <w:bCs/>
          <w:b/>
        </w:rPr>
        <w:t xml:space="preserve">Construction Supervision (45%):</w:t>
      </w:r>
      <w:r>
        <w:t xml:space="preserve"> </w:t>
      </w:r>
      <w:r>
        <w:t xml:space="preserve">EGP 2,971,296 – payable in equal monthly installments of EGP 123,804 over 24 months.</w:t>
      </w:r>
    </w:p>
    <w:p>
      <w:pPr>
        <w:numPr>
          <w:ilvl w:val="0"/>
          <w:numId w:val="1001"/>
        </w:numPr>
        <w:pStyle w:val="Compact"/>
      </w:pPr>
      <w:r>
        <w:rPr>
          <w:bCs/>
          <w:b/>
        </w:rPr>
        <w:t xml:space="preserve">Final Handover (10%):</w:t>
      </w:r>
      <w:r>
        <w:t xml:space="preserve"> </w:t>
      </w:r>
      <w:r>
        <w:t xml:space="preserve">EGP 660,288 – payable upon delivery of as-built documents and final inspection clearance.</w:t>
      </w:r>
    </w:p>
    <w:p>
      <w:pPr>
        <w:pStyle w:val="FirstParagraph"/>
      </w:pPr>
      <w:r>
        <w:t xml:space="preserve">4. Terms and Conditions</w:t>
      </w:r>
    </w:p>
    <w:p>
      <w:pPr>
        <w:numPr>
          <w:ilvl w:val="0"/>
          <w:numId w:val="1002"/>
        </w:numPr>
        <w:pStyle w:val="Compact"/>
      </w:pPr>
      <w:r>
        <w:t xml:space="preserve">This Quotation Estimate is valid for a period of thirty (30) calendar days from the date of issue. Any request for services beyond this validity period will require a revised Quotation Estimate reflecting current market rates in Egypt Cairo.</w:t>
      </w:r>
    </w:p>
    <w:p>
      <w:pPr>
        <w:numPr>
          <w:ilvl w:val="0"/>
          <w:numId w:val="1002"/>
        </w:numPr>
        <w:pStyle w:val="Compact"/>
      </w:pPr>
      <w:r>
        <w:t xml:space="preserve">All Civil Engineer services shall be performed by licensed professionals registered with the Egyptian Engineers Syndicate and holding valid practice permits for the Cairo Governorate.</w:t>
      </w:r>
    </w:p>
    <w:p>
      <w:pPr>
        <w:numPr>
          <w:ilvl w:val="0"/>
          <w:numId w:val="1002"/>
        </w:numPr>
        <w:pStyle w:val="Compact"/>
      </w:pPr>
      <w:r>
        <w:t xml:space="preserve">The client is responsible for providing timely access to the project site in Egypt Cairo, including all necessary safety equipment and site logistics for the resident Civil Engineer team.</w:t>
      </w:r>
    </w:p>
    <w:p>
      <w:pPr>
        <w:numPr>
          <w:ilvl w:val="0"/>
          <w:numId w:val="1002"/>
        </w:numPr>
        <w:pStyle w:val="Compact"/>
      </w:pPr>
      <w:r>
        <w:t xml:space="preserve">Any changes to the project scope, design modifications, or additional structural requirements beyond the original Quotation Estimate will be subject to a supplementary cost assessment and written change order.</w:t>
      </w:r>
    </w:p>
    <w:p>
      <w:pPr>
        <w:numPr>
          <w:ilvl w:val="0"/>
          <w:numId w:val="1002"/>
        </w:numPr>
        <w:pStyle w:val="Compact"/>
      </w:pPr>
      <w:r>
        <w:t xml:space="preserve">All deliverables, including drawings, reports, and digital files, shall be provided in both Arabic and English to satisfy Egypt Cairo regulatory and client requirements.</w:t>
      </w:r>
    </w:p>
    <w:p>
      <w:pPr>
        <w:numPr>
          <w:ilvl w:val="0"/>
          <w:numId w:val="1002"/>
        </w:numPr>
        <w:pStyle w:val="Compact"/>
      </w:pPr>
      <w:r>
        <w:t xml:space="preserve">Disputes arising from this Quotation Estimate shall be resolved through arbitration in accordance with the Egyptian Arbitration Law No. 27 of 1994, with the seat of arbitration in Cairo, Egypt.</w:t>
      </w:r>
    </w:p>
    <w:p>
      <w:pPr>
        <w:numPr>
          <w:ilvl w:val="0"/>
          <w:numId w:val="1002"/>
        </w:numPr>
        <w:pStyle w:val="Compact"/>
      </w:pPr>
      <w:r>
        <w:t xml:space="preserve">The Civil Engineer firm shall maintain professional indemnity insurance with a minimum coverage of EGP 10,000,000 for the duration of the project.</w:t>
      </w:r>
    </w:p>
    <w:p>
      <w:pPr>
        <w:pStyle w:val="FirstParagraph"/>
      </w:pPr>
      <w:r>
        <w:t xml:space="preserve">5. Acceptance and Authorization</w:t>
      </w:r>
    </w:p>
    <w:p>
      <w:pPr>
        <w:pStyle w:val="BodyText"/>
      </w:pPr>
      <w:r>
        <w:t xml:space="preserve">By signing below, both parties acknowledge and agree to the terms, scope, and pricing set forth in this Quotation Estimate for the Civil Engineer services to be rendered in Egypt Cairo.</w:t>
      </w:r>
    </w:p>
    <w:p>
      <w:pPr>
        <w:pStyle w:val="BodyText"/>
      </w:pPr>
      <w:r>
        <w:rPr>
          <w:bCs/>
          <w:b/>
        </w:rPr>
        <w:t xml:space="preserve">For Nile Delta Civil Engineering Consultants</w:t>
      </w:r>
    </w:p>
    <w:p>
      <w:pPr>
        <w:pStyle w:val="BodyText"/>
      </w:pPr>
      <w:r>
        <w:t xml:space="preserve">Eng. Mahmoud El-Sayed Hassan</w:t>
      </w:r>
    </w:p>
    <w:p>
      <w:pPr>
        <w:pStyle w:val="BodyText"/>
      </w:pPr>
      <w:r>
        <w:t xml:space="preserve">Principal Civil Engineer &amp; Managing Director</w:t>
      </w:r>
    </w:p>
    <w:p>
      <w:pPr>
        <w:pStyle w:val="BodyText"/>
      </w:pPr>
      <w:r>
        <w:t xml:space="preserve">License No.: EGY-CE-2003-1187</w:t>
      </w:r>
    </w:p>
    <w:p>
      <w:pPr>
        <w:pStyle w:val="BodyText"/>
      </w:pPr>
      <w:r>
        <w:rPr>
          <w:bCs/>
          <w:b/>
        </w:rPr>
        <w:t xml:space="preserve">For Al-Nile Real Estate Development Co.</w:t>
      </w:r>
    </w:p>
    <w:p>
      <w:pPr>
        <w:pStyle w:val="BodyText"/>
      </w:pPr>
      <w:r>
        <w:t xml:space="preserve">Mr. Khaled Farouk Abdel-Rahman</w:t>
      </w:r>
    </w:p>
    <w:p>
      <w:pPr>
        <w:pStyle w:val="BodyText"/>
      </w:pPr>
      <w:r>
        <w:t xml:space="preserve">Director of Procurement &amp; Projects</w:t>
      </w:r>
    </w:p>
    <w:p>
      <w:pPr>
        <w:pStyle w:val="BodyText"/>
      </w:pPr>
      <w:r>
        <w:t xml:space="preserve">Authorized Signatory</w:t>
      </w:r>
    </w:p>
    <w:p>
      <w:pPr>
        <w:pStyle w:val="BodyText"/>
      </w:pPr>
      <w:r>
        <w:t xml:space="preserve">Nile Delta Civil Engineering Consultants — 142 El Tahrir Street, Downtown, Egypt Cairo — License No. EGY-CE-2019-4482</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Egypt Cairo</dc:title>
  <dc:creator/>
  <dc:language>en</dc:language>
  <cp:keywords/>
  <dcterms:created xsi:type="dcterms:W3CDTF">2026-10-10T04:03:23Z</dcterms:created>
  <dcterms:modified xsi:type="dcterms:W3CDTF">2026-10-10T04:03:23Z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