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France</w:t>
      </w:r>
      <w:r>
        <w:t xml:space="preserve"> </w:t>
      </w:r>
      <w:r>
        <w:t xml:space="preserve">Paris</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Civil Engineer Professional Services — France Paris</w:t>
      </w:r>
    </w:p>
    <w:p>
      <w:pPr>
        <w:pStyle w:val="BodyText"/>
      </w:pPr>
      <w:r>
        <w:t xml:space="preserve">Ref: QE-CP-2025-0847  |  Date: 14 June 2025  |  Valid Until: 14 September 2025</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Bureau d'Ingénierie Structurale de Paris (BISP) — Licensed Civil Engineer Firm</w:t>
            </w:r>
          </w:p>
        </w:tc>
      </w:tr>
      <w:tr>
        <w:tc>
          <w:tcPr/>
          <w:p>
            <w:pPr>
              <w:pStyle w:val="Compact"/>
              <w:jc w:val="left"/>
            </w:pPr>
            <w:r>
              <w:t xml:space="preserve">Address:</w:t>
            </w:r>
          </w:p>
        </w:tc>
        <w:tc>
          <w:tcPr/>
          <w:p>
            <w:pPr>
              <w:pStyle w:val="Compact"/>
              <w:jc w:val="left"/>
            </w:pPr>
            <w:r>
              <w:t xml:space="preserve">42 Avenue de la République, 75011 Paris, France</w:t>
            </w:r>
          </w:p>
        </w:tc>
      </w:tr>
      <w:tr>
        <w:tc>
          <w:tcPr/>
          <w:p>
            <w:pPr>
              <w:pStyle w:val="Compact"/>
              <w:jc w:val="left"/>
            </w:pPr>
            <w:r>
              <w:t xml:space="preserve">Client:</w:t>
            </w:r>
          </w:p>
        </w:tc>
        <w:tc>
          <w:tcPr/>
          <w:p>
            <w:pPr>
              <w:pStyle w:val="Compact"/>
              <w:jc w:val="left"/>
            </w:pPr>
            <w:r>
              <w:t xml:space="preserve">Société Immobilière du Grand Paris S.A.S.</w:t>
            </w:r>
          </w:p>
        </w:tc>
      </w:tr>
      <w:tr>
        <w:tc>
          <w:tcPr/>
          <w:p>
            <w:pPr>
              <w:pStyle w:val="Compact"/>
              <w:jc w:val="left"/>
            </w:pPr>
            <w:r>
              <w:t xml:space="preserve">Client Address:</w:t>
            </w:r>
          </w:p>
        </w:tc>
        <w:tc>
          <w:tcPr/>
          <w:p>
            <w:pPr>
              <w:pStyle w:val="Compact"/>
              <w:jc w:val="left"/>
            </w:pPr>
            <w:r>
              <w:t xml:space="preserve">18 Rue de Rivoli, 75001 Paris, France</w:t>
            </w:r>
          </w:p>
        </w:tc>
      </w:tr>
      <w:tr>
        <w:tc>
          <w:tcPr/>
          <w:p>
            <w:pPr>
              <w:pStyle w:val="Compact"/>
              <w:jc w:val="left"/>
            </w:pPr>
            <w:r>
              <w:t xml:space="preserve">Project Location:</w:t>
            </w:r>
          </w:p>
        </w:tc>
        <w:tc>
          <w:tcPr/>
          <w:p>
            <w:pPr>
              <w:pStyle w:val="Compact"/>
              <w:jc w:val="left"/>
            </w:pPr>
            <w:r>
              <w:t xml:space="preserve">12 Boulevard Haussmann, 75009 Paris, France</w:t>
            </w:r>
          </w:p>
        </w:tc>
      </w:tr>
      <w:tr>
        <w:tc>
          <w:tcPr/>
          <w:p>
            <w:pPr>
              <w:pStyle w:val="Compact"/>
              <w:jc w:val="left"/>
            </w:pPr>
            <w:r>
              <w:t xml:space="preserve">Project Title:</w:t>
            </w:r>
          </w:p>
        </w:tc>
        <w:tc>
          <w:tcPr/>
          <w:p>
            <w:pPr>
              <w:pStyle w:val="Compact"/>
              <w:jc w:val="left"/>
            </w:pPr>
            <w:r>
              <w:t xml:space="preserve">Structural Assessment and Renovation of Haussmannian Building — Civil Engineer Scope</w:t>
            </w:r>
          </w:p>
        </w:tc>
      </w:tr>
    </w:tbl>
    <w:bookmarkStart w:id="21" w:name="purpose-of-this-quotation-estimate"/>
    <w:p>
      <w:pPr>
        <w:pStyle w:val="Heading2"/>
      </w:pPr>
      <w:r>
        <w:t xml:space="preserve">1. Purpose of This Quotation Estimate</w:t>
      </w:r>
    </w:p>
    <w:p>
      <w:pPr>
        <w:pStyle w:val="FirstParagraph"/>
      </w:pPr>
      <w:r>
        <w:t xml:space="preserve">This Quotation Estimate is issued by BISP, a registered Civil Engineer practice operating in France Paris, to provide Société Immobilière du Grand Paris S.A.S. with a comprehensive and itemised cost breakdown for the professional Civil Engineer services required for the structural assessment, design modification, and on-site supervision of the renovation project located at 12 Boulevard Haussmann, 75009 Paris. This Quotation Estimate covers all engineering consultancy deliverables, site inspections, regulatory compliance verification under French building codes (Code de la Construction et de l'Habitation), and coordination with local Paris municipal authorities. The Civil Engineer team assigned to this project holds full professional registration with the Ordre des Ingénieurs Civils de France and carries professional liability insurance compliant with French regulatory requirements.</w:t>
      </w:r>
    </w:p>
    <w:bookmarkEnd w:id="21"/>
    <w:bookmarkStart w:id="22" w:name="scope-of-civil-engineer-services"/>
    <w:p>
      <w:pPr>
        <w:pStyle w:val="Heading2"/>
      </w:pPr>
      <w:r>
        <w:t xml:space="preserve">2. Scope of Civil Engineer Services</w:t>
      </w:r>
    </w:p>
    <w:p>
      <w:pPr>
        <w:pStyle w:val="FirstParagraph"/>
      </w:pPr>
      <w:r>
        <w:t xml:space="preserve">The Civil Engineer services outlined in this Quotation Estimate encompass the following phases of work, all to be executed in accordance with French national standards (NF EN) and the specific urban planning regulations applicable to the 9th arrondissement of Paris, France:</w:t>
      </w:r>
    </w:p>
    <w:p>
      <w:pPr>
        <w:numPr>
          <w:ilvl w:val="0"/>
          <w:numId w:val="1001"/>
        </w:numPr>
        <w:pStyle w:val="Compact"/>
      </w:pPr>
      <w:r>
        <w:rPr>
          <w:bCs/>
          <w:b/>
        </w:rPr>
        <w:t xml:space="preserve">Phase 1 — Structural Survey &amp; Diagnostic:</w:t>
      </w:r>
      <w:r>
        <w:t xml:space="preserve"> </w:t>
      </w:r>
      <w:r>
        <w:t xml:space="preserve">Full as-built survey of the existing masonry and iron framework, non-destructive testing (NDT) of load-bearing walls, soil and foundation investigation, and preparation of a detailed structural condition report. The Civil Engineer will conduct a minimum of three on-site visits in France Paris to complete this phase.</w:t>
      </w:r>
    </w:p>
    <w:p>
      <w:pPr>
        <w:numPr>
          <w:ilvl w:val="0"/>
          <w:numId w:val="1001"/>
        </w:numPr>
        <w:pStyle w:val="Compact"/>
      </w:pPr>
      <w:r>
        <w:rPr>
          <w:bCs/>
          <w:b/>
        </w:rPr>
        <w:t xml:space="preserve">Phase 2 — Design &amp; Engineering Calculations:</w:t>
      </w:r>
      <w:r>
        <w:t xml:space="preserve"> </w:t>
      </w:r>
      <w:r>
        <w:t xml:space="preserve">Development of structural modification drawings, load redistribution calculations, seismic and wind load verification per Eurocode standards adopted in France, and preparation of the complete technical dossier for submission to the Service d'Urbanisme de la Ville de Paris.</w:t>
      </w:r>
    </w:p>
    <w:p>
      <w:pPr>
        <w:numPr>
          <w:ilvl w:val="0"/>
          <w:numId w:val="1001"/>
        </w:numPr>
        <w:pStyle w:val="Compact"/>
      </w:pPr>
      <w:r>
        <w:rPr>
          <w:bCs/>
          <w:b/>
        </w:rPr>
        <w:t xml:space="preserve">Phase 3 — Regulatory Filing &amp; Permit Support:</w:t>
      </w:r>
      <w:r>
        <w:t xml:space="preserve"> </w:t>
      </w:r>
      <w:r>
        <w:t xml:space="preserve">The Civil Engineer will prepare and submit the Déclaration de Travaux and any required Permis de Rénovation to the Mairie du 9e Arrondissement, Paris, France, and respond to all queries from the Direction des Bâtiments de France.</w:t>
      </w:r>
    </w:p>
    <w:p>
      <w:pPr>
        <w:numPr>
          <w:ilvl w:val="0"/>
          <w:numId w:val="1001"/>
        </w:numPr>
        <w:pStyle w:val="Compact"/>
      </w:pPr>
      <w:r>
        <w:t xml:space="preserve">Phase 4 — Construction Supervision (DCE &amp; DEX):strong&gt; Weekly site inspections during the execution phase, verification of structural works against approved drawings, issuance of progress certificates, and final as-built documentation. The Civil Engineer will be present on-site in France Paris for a minimum of two full days per week throughout the construction period.</w:t>
      </w:r>
    </w:p>
    <w:p>
      <w:pPr>
        <w:numPr>
          <w:ilvl w:val="0"/>
          <w:numId w:val="1001"/>
        </w:numPr>
        <w:pStyle w:val="Compact"/>
      </w:pPr>
      <w:r>
        <w:rPr>
          <w:bCs/>
          <w:b/>
        </w:rPr>
        <w:t xml:space="preserve">Phase 5 — Final Certification:</w:t>
      </w:r>
      <w:r>
        <w:t xml:space="preserve"> </w:t>
      </w:r>
      <w:r>
        <w:t xml:space="preserve">Issuance of the Attestation de Conformité Structurale, final structural warranty documentation, and handover report to the client and the Paris municipal building inspection service.</w:t>
      </w:r>
    </w:p>
    <w:bookmarkEnd w:id="22"/>
    <w:bookmarkStart w:id="23" w:name="X83c4279fdfe0006302ff32c697d8131583a5b8b"/>
    <w:p>
      <w:pPr>
        <w:pStyle w:val="Heading2"/>
      </w:pPr>
      <w:r>
        <w:t xml:space="preserve">3. Quotation Estimate —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Civil Engineer Service</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Structural survey, NDT testing, and condition report preparation (Civil Engineer + 2 technicians)</w:t>
            </w:r>
          </w:p>
        </w:tc>
        <w:tc>
          <w:tcPr/>
          <w:p>
            <w:pPr>
              <w:pStyle w:val="Compact"/>
              <w:jc w:val="left"/>
            </w:pPr>
            <w:r>
              <w:t xml:space="preserve">3 site visits + 15 office days</w:t>
            </w:r>
          </w:p>
        </w:tc>
        <w:tc>
          <w:tcPr/>
          <w:p>
            <w:pPr>
              <w:pStyle w:val="Compact"/>
              <w:jc w:val="left"/>
            </w:pPr>
            <w:r>
              <w:t xml:space="preserve">1,250.00 / day</w:t>
            </w:r>
          </w:p>
        </w:tc>
        <w:tc>
          <w:tcPr/>
          <w:p>
            <w:pPr>
              <w:pStyle w:val="Compact"/>
              <w:jc w:val="left"/>
            </w:pPr>
            <w:r>
              <w:t xml:space="preserve">26,250.00</w:t>
            </w:r>
          </w:p>
        </w:tc>
      </w:tr>
      <w:tr>
        <w:tc>
          <w:tcPr/>
          <w:p>
            <w:pPr>
              <w:pStyle w:val="Compact"/>
              <w:jc w:val="left"/>
            </w:pPr>
            <w:r>
              <w:t xml:space="preserve">02</w:t>
            </w:r>
          </w:p>
        </w:tc>
        <w:tc>
          <w:tcPr/>
          <w:p>
            <w:pPr>
              <w:pStyle w:val="Compact"/>
              <w:jc w:val="left"/>
            </w:pPr>
            <w:r>
              <w:t xml:space="preserve">Soil investigation and geotechnical report coordination (France Paris site)</w:t>
            </w:r>
          </w:p>
        </w:tc>
        <w:tc>
          <w:tcPr/>
          <w:p>
            <w:pPr>
              <w:pStyle w:val="Compact"/>
              <w:jc w:val="left"/>
            </w:pPr>
            <w:r>
              <w:t xml:space="preserve">1 lump sum</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03</w:t>
            </w:r>
          </w:p>
        </w:tc>
        <w:tc>
          <w:tcPr/>
          <w:p>
            <w:pPr>
              <w:pStyle w:val="Compact"/>
              <w:jc w:val="left"/>
            </w:pPr>
            <w:r>
              <w:t xml:space="preserve">Structural design, Eurocode calculations, and drawing production (Civil Engineer team of 3)</w:t>
            </w:r>
          </w:p>
        </w:tc>
        <w:tc>
          <w:tcPr/>
          <w:p>
            <w:pPr>
              <w:pStyle w:val="Compact"/>
              <w:jc w:val="left"/>
            </w:pPr>
            <w:r>
              <w:t xml:space="preserve">40 office days</w:t>
            </w:r>
          </w:p>
        </w:tc>
        <w:tc>
          <w:tcPr/>
          <w:p>
            <w:pPr>
              <w:pStyle w:val="Compact"/>
              <w:jc w:val="left"/>
            </w:pPr>
            <w:r>
              <w:t xml:space="preserve">1,400.00 / day</w:t>
            </w:r>
          </w:p>
        </w:tc>
        <w:tc>
          <w:tcPr/>
          <w:p>
            <w:pPr>
              <w:pStyle w:val="Compact"/>
              <w:jc w:val="left"/>
            </w:pPr>
            <w:r>
              <w:t xml:space="preserve">56,000.00</w:t>
            </w:r>
          </w:p>
        </w:tc>
      </w:tr>
      <w:tr>
        <w:tc>
          <w:tcPr/>
          <w:p>
            <w:pPr>
              <w:pStyle w:val="Compact"/>
              <w:jc w:val="left"/>
            </w:pPr>
            <w:r>
              <w:t xml:space="preserve">04</w:t>
            </w:r>
          </w:p>
        </w:tc>
        <w:tc>
          <w:tcPr/>
          <w:p>
            <w:pPr>
              <w:pStyle w:val="Compact"/>
              <w:jc w:val="left"/>
            </w:pPr>
            <w:r>
              <w:t xml:space="preserve">Regulatory filing, permit application, and liaison with Paris municipal authorities</w:t>
            </w:r>
          </w:p>
        </w:tc>
        <w:tc>
          <w:tcPr/>
          <w:p>
            <w:pPr>
              <w:pStyle w:val="Compact"/>
              <w:jc w:val="left"/>
            </w:pPr>
            <w:r>
              <w:t xml:space="preserve">1 lump sum</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05</w:t>
            </w:r>
          </w:p>
        </w:tc>
        <w:tc>
          <w:tcPr/>
          <w:p>
            <w:pPr>
              <w:pStyle w:val="Compact"/>
              <w:jc w:val="left"/>
            </w:pPr>
            <w:r>
              <w:t xml:space="preserve">Construction phase supervision — weekly site inspections in France Paris (estimated 22 weeks)</w:t>
            </w:r>
          </w:p>
        </w:tc>
        <w:tc>
          <w:tcPr/>
          <w:p>
            <w:pPr>
              <w:pStyle w:val="Compact"/>
              <w:jc w:val="left"/>
            </w:pPr>
            <w:r>
              <w:t xml:space="preserve">22 weeks × 2 days</w:t>
            </w:r>
          </w:p>
        </w:tc>
        <w:tc>
          <w:tcPr/>
          <w:p>
            <w:pPr>
              <w:pStyle w:val="Compact"/>
              <w:jc w:val="left"/>
            </w:pPr>
            <w:r>
              <w:t xml:space="preserve">1,100.00 / day</w:t>
            </w:r>
          </w:p>
        </w:tc>
        <w:tc>
          <w:tcPr/>
          <w:p>
            <w:pPr>
              <w:pStyle w:val="Compact"/>
              <w:jc w:val="left"/>
            </w:pPr>
            <w:r>
              <w:t xml:space="preserve">48,400.00</w:t>
            </w:r>
          </w:p>
        </w:tc>
      </w:tr>
      <w:tr>
        <w:tc>
          <w:tcPr/>
          <w:p>
            <w:pPr>
              <w:pStyle w:val="Compact"/>
              <w:jc w:val="left"/>
            </w:pPr>
            <w:r>
              <w:t xml:space="preserve">06</w:t>
            </w:r>
          </w:p>
        </w:tc>
        <w:tc>
          <w:tcPr/>
          <w:p>
            <w:pPr>
              <w:pStyle w:val="Compact"/>
              <w:jc w:val="left"/>
            </w:pPr>
            <w:r>
              <w:t xml:space="preserve">Progress certification, variation assessment, and interim reporting</w:t>
            </w:r>
          </w:p>
        </w:tc>
        <w:tc>
          <w:tcPr/>
          <w:p>
            <w:pPr>
              <w:pStyle w:val="Compact"/>
              <w:jc w:val="left"/>
            </w:pPr>
            <w:r>
              <w:t xml:space="preserve">22 reports</w:t>
            </w:r>
          </w:p>
        </w:tc>
        <w:tc>
          <w:tcPr/>
          <w:p>
            <w:pPr>
              <w:pStyle w:val="Compact"/>
              <w:jc w:val="left"/>
            </w:pPr>
            <w:r>
              <w:t xml:space="preserve">450.00 / report</w:t>
            </w:r>
          </w:p>
        </w:tc>
        <w:tc>
          <w:tcPr/>
          <w:p>
            <w:pPr>
              <w:pStyle w:val="Compact"/>
              <w:jc w:val="left"/>
            </w:pPr>
            <w:r>
              <w:t xml:space="preserve">9,900.00</w:t>
            </w:r>
          </w:p>
        </w:tc>
      </w:tr>
      <w:tr>
        <w:tc>
          <w:tcPr/>
          <w:p>
            <w:pPr>
              <w:pStyle w:val="Compact"/>
              <w:jc w:val="left"/>
            </w:pPr>
            <w:r>
              <w:t xml:space="preserve">07</w:t>
            </w:r>
          </w:p>
        </w:tc>
        <w:tc>
          <w:tcPr/>
          <w:p>
            <w:pPr>
              <w:pStyle w:val="Compact"/>
              <w:jc w:val="left"/>
            </w:pPr>
            <w:r>
              <w:t xml:space="preserve">Final structural certification, as-built documentation, and handover dossier</w:t>
            </w:r>
          </w:p>
        </w:tc>
        <w:tc>
          <w:tcPr/>
          <w:p>
            <w:pPr>
              <w:pStyle w:val="Compact"/>
              <w:jc w:val="left"/>
            </w:pPr>
            <w:r>
              <w:t xml:space="preserve">1 lump sum</w:t>
            </w:r>
          </w:p>
        </w:tc>
        <w:tc>
          <w:tcPr/>
          <w:p>
            <w:pPr>
              <w:pStyle w:val="Compact"/>
              <w:jc w:val="left"/>
            </w:pPr>
            <w:r>
              <w:t xml:space="preserve">5,200.00</w:t>
            </w:r>
          </w:p>
        </w:tc>
        <w:tc>
          <w:tcPr/>
          <w:p>
            <w:pPr>
              <w:pStyle w:val="Compact"/>
              <w:jc w:val="left"/>
            </w:pPr>
            <w:r>
              <w:t xml:space="preserve">5,200.00</w:t>
            </w:r>
          </w:p>
        </w:tc>
      </w:tr>
      <w:tr>
        <w:tc>
          <w:tcPr/>
          <w:p>
            <w:pPr>
              <w:pStyle w:val="Compact"/>
              <w:jc w:val="left"/>
            </w:pPr>
            <w:r>
              <w:t xml:space="preserve">08</w:t>
            </w:r>
          </w:p>
        </w:tc>
        <w:tc>
          <w:tcPr/>
          <w:p>
            <w:pPr>
              <w:pStyle w:val="Compact"/>
              <w:jc w:val="left"/>
            </w:pPr>
            <w:r>
              <w:t xml:space="preserve">Professional liability insurance and Ordre des Ingénieurs registration fees (France Paris jurisdiction)</w:t>
            </w:r>
          </w:p>
        </w:tc>
        <w:tc>
          <w:tcPr/>
          <w:p>
            <w:pPr>
              <w:pStyle w:val="Compact"/>
              <w:jc w:val="left"/>
            </w:pPr>
            <w:r>
              <w:t xml:space="preserve">1 lump sum</w:t>
            </w:r>
          </w:p>
        </w:tc>
        <w:tc>
          <w:tcPr/>
          <w:p>
            <w:pPr>
              <w:pStyle w:val="Compact"/>
              <w:jc w:val="left"/>
            </w:pPr>
            <w:r>
              <w:t xml:space="preserve">2,350.00</w:t>
            </w:r>
          </w:p>
        </w:tc>
        <w:tc>
          <w:tcPr/>
          <w:p>
            <w:pPr>
              <w:pStyle w:val="Compact"/>
              <w:jc w:val="left"/>
            </w:pPr>
            <w:r>
              <w:t xml:space="preserve">2,350.00</w:t>
            </w:r>
          </w:p>
        </w:tc>
      </w:tr>
      <w:tr>
        <w:tc>
          <w:tcPr/>
          <w:p>
            <w:pPr>
              <w:pStyle w:val="Compact"/>
              <w:jc w:val="left"/>
            </w:pPr>
            <w:r>
              <w:t xml:space="preserve">09</w:t>
            </w:r>
          </w:p>
        </w:tc>
        <w:tc>
          <w:tcPr/>
          <w:p>
            <w:pPr>
              <w:pStyle w:val="Compact"/>
              <w:jc w:val="left"/>
            </w:pPr>
            <w:r>
              <w:t xml:space="preserve">Travel, accommodation, and local transport within France Paris and Île-de-France region</w:t>
            </w:r>
          </w:p>
        </w:tc>
        <w:tc>
          <w:tcPr/>
          <w:p>
            <w:pPr>
              <w:pStyle w:val="Compact"/>
              <w:jc w:val="left"/>
            </w:pPr>
            <w:r>
              <w:t xml:space="preserve">Estimated</w:t>
            </w:r>
          </w:p>
        </w:tc>
        <w:tc>
          <w:tcPr/>
          <w:p>
            <w:pPr>
              <w:pStyle w:val="Compact"/>
              <w:jc w:val="left"/>
            </w:pPr>
            <w:r>
              <w:t xml:space="preserve">—</w:t>
            </w:r>
          </w:p>
        </w:tc>
        <w:tc>
          <w:tcPr/>
          <w:p>
            <w:pPr>
              <w:pStyle w:val="Compact"/>
              <w:jc w:val="left"/>
            </w:pPr>
            <w:r>
              <w:t xml:space="preserve">3,800.00</w:t>
            </w:r>
          </w:p>
        </w:tc>
      </w:tr>
      <w:tr>
        <w:tc>
          <w:tcPr/>
          <w:p>
            <w:pPr>
              <w:pStyle w:val="Compact"/>
              <w:jc w:val="left"/>
            </w:pPr>
            <w:r>
              <w:t xml:space="preserve">10</w:t>
            </w:r>
          </w:p>
        </w:tc>
        <w:tc>
          <w:tcPr/>
          <w:p>
            <w:pPr>
              <w:pStyle w:val="Compact"/>
              <w:jc w:val="left"/>
            </w:pPr>
            <w:r>
              <w:t xml:space="preserve">Contingency allowance (5% of subtotal) for unforeseen Civil Engineer consultancy requirements</w:t>
            </w:r>
          </w:p>
        </w:tc>
        <w:tc>
          <w:tcPr/>
          <w:p>
            <w:pPr>
              <w:pStyle w:val="Compact"/>
              <w:jc w:val="left"/>
            </w:pPr>
            <w:r>
              <w:t xml:space="preserve">5%</w:t>
            </w:r>
          </w:p>
        </w:tc>
        <w:tc>
          <w:tcPr/>
          <w:p>
            <w:pPr>
              <w:pStyle w:val="Compact"/>
              <w:jc w:val="left"/>
            </w:pPr>
            <w:r>
              <w:t xml:space="preserve">—</w:t>
            </w:r>
          </w:p>
        </w:tc>
        <w:tc>
          <w:tcPr/>
          <w:p>
            <w:pPr>
              <w:pStyle w:val="Compact"/>
              <w:jc w:val="left"/>
            </w:pPr>
            <w:r>
              <w:t xml:space="preserve">8,920.00</w:t>
            </w:r>
          </w:p>
        </w:tc>
      </w:tr>
      <w:tr>
        <w:tc>
          <w:tcPr>
            <w:gridSpan w:val="4"/>
          </w:tcPr>
          <w:p>
            <w:pPr>
              <w:pStyle w:val="Compact"/>
              <w:jc w:val="right"/>
            </w:pPr>
            <w:r>
              <w:t xml:space="preserve">Subtotal (excl. VAT)</w:t>
            </w:r>
          </w:p>
        </w:tc>
        <w:tc>
          <w:tcPr/>
          <w:p>
            <w:pPr>
              <w:pStyle w:val="Compact"/>
              <w:jc w:val="left"/>
            </w:pPr>
            <w:r>
              <w:t xml:space="preserve">177,120.00</w:t>
            </w:r>
          </w:p>
        </w:tc>
      </w:tr>
      <w:tr>
        <w:tc>
          <w:tcPr>
            <w:gridSpan w:val="4"/>
          </w:tcPr>
          <w:p>
            <w:pPr>
              <w:pStyle w:val="Compact"/>
              <w:jc w:val="right"/>
            </w:pPr>
            <w:r>
              <w:t xml:space="preserve">VAT (TVA) — 20% (France standard rate)</w:t>
            </w:r>
          </w:p>
        </w:tc>
        <w:tc>
          <w:tcPr/>
          <w:p>
            <w:pPr>
              <w:pStyle w:val="Compact"/>
              <w:jc w:val="left"/>
            </w:pPr>
            <w:r>
              <w:t xml:space="preserve">35,424.00</w:t>
            </w:r>
          </w:p>
        </w:tc>
      </w:tr>
      <w:tr>
        <w:tc>
          <w:tcPr>
            <w:gridSpan w:val="4"/>
          </w:tcPr>
          <w:p>
            <w:pPr>
              <w:pStyle w:val="Compact"/>
              <w:jc w:val="right"/>
            </w:pPr>
            <w:r>
              <w:t xml:space="preserve">TOTAL QUOTATION ESTIMATE (incl. VAT)</w:t>
            </w:r>
          </w:p>
        </w:tc>
        <w:tc>
          <w:tcPr/>
          <w:p>
            <w:pPr>
              <w:pStyle w:val="Compact"/>
              <w:jc w:val="left"/>
            </w:pPr>
            <w:r>
              <w:t xml:space="preserve">212,544.00</w:t>
            </w:r>
          </w:p>
        </w:tc>
      </w:tr>
    </w:tbl>
    <w:p>
      <w:pPr>
        <w:pStyle w:val="BodyText"/>
      </w:pPr>
      <w:r>
        <w:rPr>
          <w:bCs/>
          <w:b/>
        </w:rPr>
        <w:t xml:space="preserve">Note:</w:t>
      </w:r>
      <w:r>
        <w:t xml:space="preserve"> </w:t>
      </w:r>
      <w:r>
        <w:t xml:space="preserve">This Quotation Estimate is valid for a period of ninety (90) calendar days from the date of issue. All rates are quoted in Euros (EUR) and are inclusive of all Civil Engineer professional fees, software licensing, and standard engineering tools. Any additional scope beyond the items listed above will be subject to a supplementary Quotation Estimate issued by the Civil Engineer team prior to commencement of the additional work.</w:t>
      </w:r>
    </w:p>
    <w:bookmarkEnd w:id="23"/>
    <w:bookmarkStart w:id="24" w:name="payment-terms"/>
    <w:p>
      <w:pPr>
        <w:pStyle w:val="Heading2"/>
      </w:pPr>
      <w:r>
        <w:t xml:space="preserve">4. Payment Terms</w:t>
      </w:r>
    </w:p>
    <w:p>
      <w:pPr>
        <w:numPr>
          <w:ilvl w:val="0"/>
          <w:numId w:val="1002"/>
        </w:numPr>
        <w:pStyle w:val="Compact"/>
      </w:pPr>
      <w:r>
        <w:t xml:space="preserve">30% advance payment upon acceptance of this Quotation Estimate and execution of the professional services contract.</w:t>
      </w:r>
    </w:p>
    <w:p>
      <w:pPr>
        <w:numPr>
          <w:ilvl w:val="0"/>
          <w:numId w:val="1002"/>
        </w:numPr>
        <w:pStyle w:val="Compact"/>
      </w:pPr>
      <w:r>
        <w:t xml:space="preserve">25% upon completion of Phase 2 (Design &amp; Engineering Calculations) and submission of the technical dossier to the Paris municipal authority.</w:t>
      </w:r>
    </w:p>
    <w:p>
      <w:pPr>
        <w:numPr>
          <w:ilvl w:val="0"/>
          <w:numId w:val="1002"/>
        </w:numPr>
        <w:pStyle w:val="Compact"/>
      </w:pPr>
      <w:r>
        <w:t xml:space="preserve">30% payable in equal monthly instalments during Phase 4 (Construction Supervision), invoiced at the end of each calendar month.</w:t>
      </w:r>
    </w:p>
    <w:p>
      <w:pPr>
        <w:numPr>
          <w:ilvl w:val="0"/>
          <w:numId w:val="1002"/>
        </w:numPr>
        <w:pStyle w:val="Compact"/>
      </w:pPr>
      <w:r>
        <w:t xml:space="preserve">15% final payment upon delivery of the Attestation de Conformité Structurale and completion of Phase 5.</w:t>
      </w:r>
    </w:p>
    <w:p>
      <w:pPr>
        <w:numPr>
          <w:ilvl w:val="0"/>
          <w:numId w:val="1002"/>
        </w:numPr>
        <w:pStyle w:val="Compact"/>
      </w:pPr>
      <w:r>
        <w:t xml:space="preserve">All invoices are payable within thirty (30) days of the invoice date by bank transfer to the account of BISP, France Paris. Late payments shall accrue interest at the rate prescribed by Article L441-10 of the French Commercial Code.</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does not constitute a binding contract until formally accepted in writing by the client and countersigned by the authorised representative of BISP, the Civil Engineer firm.</w:t>
      </w:r>
    </w:p>
    <w:p>
      <w:pPr>
        <w:numPr>
          <w:ilvl w:val="0"/>
          <w:numId w:val="1003"/>
        </w:numPr>
        <w:pStyle w:val="Compact"/>
      </w:pPr>
      <w:r>
        <w:t xml:space="preserve">All Civil Engineer services shall be performed in strict compliance with French law, the Code de la Construction et de l'Habitation, and the applicable urban planning regulations of the City of Paris, France.</w:t>
      </w:r>
    </w:p>
    <w:p>
      <w:pPr>
        <w:numPr>
          <w:ilvl w:val="0"/>
          <w:numId w:val="1003"/>
        </w:numPr>
        <w:pStyle w:val="Compact"/>
      </w:pPr>
      <w:r>
        <w:t xml:space="preserve">The Civil Engineer assumes no liability for delays caused by third-party contractors, municipal authority processing times, or force majeure events as defined under French civil law.</w:t>
      </w:r>
    </w:p>
    <w:p>
      <w:pPr>
        <w:numPr>
          <w:ilvl w:val="0"/>
          <w:numId w:val="1003"/>
        </w:numPr>
        <w:pStyle w:val="Compact"/>
      </w:pPr>
      <w:r>
        <w:t xml:space="preserve">Intellectual property of all drawings, calculations, and reports produced by the Civil Engineer team shall remain the property of BISP until full payment of this Quotation Estimate is received.</w:t>
      </w:r>
    </w:p>
    <w:p>
      <w:pPr>
        <w:numPr>
          <w:ilvl w:val="0"/>
          <w:numId w:val="1003"/>
        </w:numPr>
        <w:pStyle w:val="Compact"/>
      </w:pPr>
      <w:r>
        <w:t xml:space="preserve">Any dispute arising from this Quotation Estimate or the subsequent contract shall be subject to the exclusive jurisdiction of the Tribunal de Commerce de Paris, France.</w:t>
      </w:r>
    </w:p>
    <w:p>
      <w:pPr>
        <w:numPr>
          <w:ilvl w:val="0"/>
          <w:numId w:val="1003"/>
        </w:numPr>
        <w:pStyle w:val="Compact"/>
      </w:pPr>
      <w:r>
        <w:t xml:space="preserve">This Quotation Estimate is governed by the laws of the French Republic.</w:t>
      </w:r>
    </w:p>
    <w:bookmarkEnd w:id="25"/>
    <w:bookmarkStart w:id="26" w:name="acceptance-and-signatures"/>
    <w:p>
      <w:pPr>
        <w:pStyle w:val="Heading2"/>
      </w:pPr>
      <w:r>
        <w:t xml:space="preserve">6. Acceptance and Signatures</w:t>
      </w:r>
    </w:p>
    <w:p>
      <w:pPr>
        <w:pStyle w:val="FirstParagraph"/>
      </w:pPr>
      <w:r>
        <w:t xml:space="preserve">By signing below, both parties acknowledge that this Quotation Estimate has been reviewed, understood, and agreed upon. The Civil Engineer services described herein shall commence upon receipt of the advance payment and formal contract execution.</w:t>
      </w:r>
    </w:p>
    <w:p>
      <w:pPr>
        <w:pStyle w:val="BodyText"/>
      </w:pPr>
      <w:r>
        <w:t xml:space="preserve">For BISP — Civil Engineer Firm, France Paris</w:t>
      </w:r>
    </w:p>
    <w:p>
      <w:pPr>
        <w:pStyle w:val="BodyText"/>
      </w:pPr>
      <w:r>
        <w:t xml:space="preserve">Name: M. Philippe Durand, Ingénieur Civil Diplômé</w:t>
      </w:r>
      <w:r>
        <w:br/>
      </w:r>
      <w:r>
        <w:t xml:space="preserve">Title: Director &amp; Lead Civil Engineer</w:t>
      </w:r>
      <w:r>
        <w:br/>
      </w:r>
      <w:r>
        <w:t xml:space="preserve">Signature &amp; Date: ___________________________</w:t>
      </w:r>
    </w:p>
    <w:p>
      <w:pPr>
        <w:pStyle w:val="BodyText"/>
      </w:pPr>
      <w:r>
        <w:t xml:space="preserve">For Société Immobilière du Grand Paris S.A.S.</w:t>
      </w:r>
    </w:p>
    <w:p>
      <w:pPr>
        <w:pStyle w:val="BodyText"/>
      </w:pPr>
      <w:r>
        <w:t xml:space="preserve">Name: Mme. Claire Fontaine</w:t>
      </w:r>
      <w:r>
        <w:br/>
      </w:r>
      <w:r>
        <w:t xml:space="preserve">Title: Directrice Générale</w:t>
      </w:r>
      <w:r>
        <w:br/>
      </w:r>
      <w:r>
        <w:t xml:space="preserve">Signature &amp; Date: ___________________________</w:t>
      </w:r>
    </w:p>
    <w:p>
      <w:pPr>
        <w:pStyle w:val="BodyText"/>
      </w:pPr>
      <w:r>
        <w:t xml:space="preserve">Bureau d'Ingénierie Structurale de Paris (BISP) — 42 Avenue de la République, 75011 Paris, France</w:t>
      </w:r>
      <w:r>
        <w:br/>
      </w:r>
      <w:r>
        <w:t xml:space="preserve">SIRET: 842 567 391 00027  |  TVA: FR 42 842567391  |  Ordre des Ingénieurs Civils de France — Registration No. IC-2019-04472</w:t>
      </w:r>
      <w:r>
        <w:br/>
      </w:r>
      <w:r>
        <w:t xml:space="preserve">This Quotation Estimate was prepared by a licensed Civil Engineer in France Paris and is valid only for the project and client specified herein.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Civil Engineer Services - France Paris</dc:title>
  <dc:creator/>
  <dc:language>en</dc:language>
  <cp:keywords/>
  <dcterms:created xsi:type="dcterms:W3CDTF">2026-10-10T02:34:50Z</dcterms:created>
  <dcterms:modified xsi:type="dcterms:W3CDTF">2026-10-10T02:34:50Z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