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engineering-solutions-gmbh"/>
    <w:p>
      <w:pPr>
        <w:pStyle w:val="Heading1"/>
      </w:pPr>
      <w:r>
        <w:t xml:space="preserve">Frankfurt Engineering Solutions GmbH</w:t>
      </w:r>
    </w:p>
    <w:p>
      <w:pPr>
        <w:pStyle w:val="FirstParagraph"/>
      </w:pPr>
      <w:r>
        <w:t xml:space="preserve">Seitzstraße 42, 60313 Frankfurt am Main, Germany</w:t>
      </w:r>
    </w:p>
    <w:p>
      <w:pPr>
        <w:pStyle w:val="BodyText"/>
      </w:pPr>
      <w:r>
        <w:t xml:space="preserve">Phone: +49 69 1234 5678 | Email: info@frankfurt-eng-sol.de</w:t>
      </w:r>
    </w:p>
    <w:p>
      <w:pPr>
        <w:pStyle w:val="BodyText"/>
      </w:pPr>
      <w:r>
        <w:t xml:space="preserve">USt-IdNr.: DE 298 765 431 | HRB 123456 Frankfurt am Main</w:t>
      </w:r>
    </w:p>
    <w:bookmarkEnd w:id="20"/>
    <w:bookmarkStart w:id="21" w:name="quotation-estimate"/>
    <w:p>
      <w:pPr>
        <w:pStyle w:val="Heading2"/>
      </w:pPr>
      <w:r>
        <w:t xml:space="preserve">QUOTATION ESTIMATE</w:t>
      </w:r>
    </w:p>
    <w:p>
      <w:pPr>
        <w:pStyle w:val="FirstParagraph"/>
      </w:pPr>
      <w:r>
        <w:t xml:space="preserve">Reference No.: QTE-2025-FRA-0847</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1. Client Information</w:t>
      </w:r>
    </w:p>
    <w:p>
      <w:pPr>
        <w:pStyle w:val="FirstParagraph"/>
      </w:pPr>
      <w:r>
        <w:rPr>
          <w:bCs/>
          <w:b/>
        </w:rPr>
        <w:t xml:space="preserve">Prepared For:</w:t>
      </w:r>
      <w:r>
        <w:t xml:space="preserve"> </w:t>
      </w:r>
      <w:r>
        <w:t xml:space="preserve">Main-Taunus Infrastructure Authority</w:t>
      </w:r>
    </w:p>
    <w:p>
      <w:pPr>
        <w:pStyle w:val="BodyText"/>
      </w:pPr>
      <w:r>
        <w:rPr>
          <w:bCs/>
          <w:b/>
        </w:rPr>
        <w:t xml:space="preserve">Address:</w:t>
      </w:r>
      <w:r>
        <w:t xml:space="preserve"> </w:t>
      </w:r>
      <w:r>
        <w:t xml:space="preserve">Zeil 18, 60313 Frankfurt am Main, Germany</w:t>
      </w:r>
    </w:p>
    <w:p>
      <w:pPr>
        <w:pStyle w:val="BodyText"/>
      </w:pPr>
      <w:r>
        <w:rPr>
          <w:bCs/>
          <w:b/>
        </w:rPr>
        <w:t xml:space="preserve">Contact Person:</w:t>
      </w:r>
      <w:r>
        <w:t xml:space="preserve"> </w:t>
      </w:r>
      <w:r>
        <w:t xml:space="preserve">Dr. Heinrich Vogel, Project Director</w:t>
      </w:r>
    </w:p>
    <w:p>
      <w:pPr>
        <w:pStyle w:val="BodyText"/>
      </w:pPr>
      <w:r>
        <w:rPr>
          <w:bCs/>
          <w:b/>
        </w:rPr>
        <w:t xml:space="preserve">Prepared By:</w:t>
      </w:r>
      <w:r>
        <w:t xml:space="preserve"> </w:t>
      </w:r>
      <w:r>
        <w:t xml:space="preserve">Dipl.-Ing. Markus Steinbach, P.Eng.</w:t>
      </w:r>
    </w:p>
    <w:p>
      <w:pPr>
        <w:pStyle w:val="BodyText"/>
      </w:pPr>
      <w:r>
        <w:rPr>
          <w:bCs/>
          <w:b/>
        </w:rPr>
        <w:t xml:space="preserve">Role:</w:t>
      </w:r>
      <w:r>
        <w:t xml:space="preserve"> </w:t>
      </w:r>
      <w:r>
        <w:t xml:space="preserve">Lead Civil Engineer</w:t>
      </w:r>
    </w:p>
    <w:p>
      <w:pPr>
        <w:pStyle w:val="BodyText"/>
      </w:pPr>
      <w:r>
        <w:rPr>
          <w:bCs/>
          <w:b/>
        </w:rPr>
        <w:t xml:space="preserve">Project Location:</w:t>
      </w:r>
      <w:r>
        <w:t xml:space="preserve"> </w:t>
      </w:r>
      <w:r>
        <w:t xml:space="preserve">Frankfurt am Main, Hesse, Germany</w:t>
      </w:r>
    </w:p>
    <w:bookmarkEnd w:id="22"/>
    <w:bookmarkStart w:id="23" w:name="project-description"/>
    <w:p>
      <w:pPr>
        <w:pStyle w:val="Heading3"/>
      </w:pPr>
      <w:r>
        <w:t xml:space="preserve">2. Project Description</w:t>
      </w:r>
    </w:p>
    <w:p>
      <w:pPr>
        <w:pStyle w:val="FirstParagraph"/>
      </w:pPr>
      <w:r>
        <w:t xml:space="preserve">This</w:t>
      </w:r>
      <w:r>
        <w:t xml:space="preserve"> </w:t>
      </w:r>
      <w:r>
        <w:t xml:space="preserve">Quotation Estimate</w:t>
      </w:r>
      <w:r>
        <w:t xml:space="preserve"> </w:t>
      </w:r>
      <w:r>
        <w:t xml:space="preserve">is issued by Frankfurt Engineering Solutions GmbH in response to the formal request for a comprehensive structural assessment and remediation plan for the historic pedestrian underpass located beneath the Main River crossing in the Innenstadt district of</w:t>
      </w:r>
      <w:r>
        <w:t xml:space="preserve"> </w:t>
      </w:r>
      <w:r>
        <w:t xml:space="preserve">Germany Frankfurt</w:t>
      </w:r>
      <w:r>
        <w:t xml:space="preserve">. The scope encompasses a full</w:t>
      </w:r>
      <w:r>
        <w:t xml:space="preserve"> </w:t>
      </w:r>
      <w:r>
        <w:t xml:space="preserve">Civil Engineer</w:t>
      </w:r>
      <w:r>
        <w:t xml:space="preserve"> </w:t>
      </w:r>
      <w:r>
        <w:t xml:space="preserve">evaluation of the existing reinforced concrete structure, including load-bearing capacity analysis, corrosion mapping of embedded steel reinforcement, and the development of a detailed rehabilitation strategy compliant with DIN 1045, Eurocode 2 (EN 1992), and the local Hessian building regulations (HBO).</w:t>
      </w:r>
    </w:p>
    <w:p>
      <w:pPr>
        <w:pStyle w:val="BodyText"/>
      </w:pPr>
      <w:r>
        <w:t xml:space="preserve">The</w:t>
      </w:r>
      <w:r>
        <w:t xml:space="preserve"> </w:t>
      </w:r>
      <w:r>
        <w:t xml:space="preserve">Civil Engineer</w:t>
      </w:r>
      <w:r>
        <w:t xml:space="preserve"> </w:t>
      </w:r>
      <w:r>
        <w:t xml:space="preserve">team assigned to this project will conduct on-site inspections, non-destructive testing (NDT), and laboratory analysis of concrete core samples. All findings will be compiled into a technical report suitable for submission to the Frankfurt municipal planning authority (Amt für Stadtplanung) and the Hessian State Building Supervisory Office (Landesbauaufsichtsamt Hessen).</w:t>
      </w:r>
    </w:p>
    <w:bookmarkEnd w:id="23"/>
    <w:bookmarkStart w:id="24" w:name="scope-of-work-and-itemized-costs"/>
    <w:p>
      <w:pPr>
        <w:pStyle w:val="Heading3"/>
      </w:pPr>
      <w:r>
        <w:t xml:space="preserve">3. Scope of Work and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survey and documentation of the underpass structure in Frankfurt am Main</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Non-destructive testing (ultrasonic pulse velocity, half-cell potential, cover meter survey)</w:t>
            </w:r>
          </w:p>
        </w:tc>
        <w:tc>
          <w:tcPr/>
          <w:p>
            <w:pPr>
              <w:pStyle w:val="Compact"/>
              <w:jc w:val="left"/>
            </w:pPr>
            <w:r>
              <w:t xml:space="preserve">m²</w:t>
            </w:r>
          </w:p>
        </w:tc>
        <w:tc>
          <w:tcPr/>
          <w:p>
            <w:pPr>
              <w:pStyle w:val="Compact"/>
              <w:jc w:val="left"/>
            </w:pPr>
            <w:r>
              <w:t xml:space="preserve">340</w:t>
            </w:r>
          </w:p>
        </w:tc>
        <w:tc>
          <w:tcPr/>
          <w:p>
            <w:pPr>
              <w:pStyle w:val="Compact"/>
              <w:jc w:val="left"/>
            </w:pPr>
            <w:r>
              <w:t xml:space="preserve">18.50</w:t>
            </w:r>
          </w:p>
        </w:tc>
        <w:tc>
          <w:tcPr/>
          <w:p>
            <w:pPr>
              <w:pStyle w:val="Compact"/>
              <w:jc w:val="left"/>
            </w:pPr>
            <w:r>
              <w:t xml:space="preserve">6,290.00</w:t>
            </w:r>
          </w:p>
        </w:tc>
      </w:tr>
      <w:tr>
        <w:tc>
          <w:tcPr/>
          <w:p>
            <w:pPr>
              <w:pStyle w:val="Compact"/>
              <w:jc w:val="left"/>
            </w:pPr>
            <w:r>
              <w:t xml:space="preserve">03</w:t>
            </w:r>
          </w:p>
        </w:tc>
        <w:tc>
          <w:tcPr/>
          <w:p>
            <w:pPr>
              <w:pStyle w:val="Compact"/>
              <w:jc w:val="left"/>
            </w:pPr>
            <w:r>
              <w:t xml:space="preserve">Extraction and laboratory analysis of concrete core samples (compressive strength, chloride content, carbonation depth)</w:t>
            </w:r>
          </w:p>
        </w:tc>
        <w:tc>
          <w:tcPr/>
          <w:p>
            <w:pPr>
              <w:pStyle w:val="Compact"/>
              <w:jc w:val="left"/>
            </w:pPr>
            <w:r>
              <w:t xml:space="preserve">Sample</w:t>
            </w:r>
          </w:p>
        </w:tc>
        <w:tc>
          <w:tcPr/>
          <w:p>
            <w:pPr>
              <w:pStyle w:val="Compact"/>
              <w:jc w:val="left"/>
            </w:pPr>
            <w:r>
              <w:t xml:space="preserve">24</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04</w:t>
            </w:r>
          </w:p>
        </w:tc>
        <w:tc>
          <w:tcPr/>
          <w:p>
            <w:pPr>
              <w:pStyle w:val="Compact"/>
              <w:jc w:val="left"/>
            </w:pPr>
            <w:r>
              <w:t xml:space="preserve">Structural load-bearing capacity calculation and finite element modelling (FEA) per Eurocode 2</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Preparation of detailed remediation and reinforcement design drawings (CAD/BIM)</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Compilation of the final technical report and regulatory compliance documentation for the Frankfurt municipal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Two on-site presentation meetings with the client and municipal stakeholders in Germany Frankfurt</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08</w:t>
            </w:r>
          </w:p>
        </w:tc>
        <w:tc>
          <w:tcPr/>
          <w:p>
            <w:pPr>
              <w:pStyle w:val="Compact"/>
              <w:jc w:val="left"/>
            </w:pPr>
            <w:r>
              <w:t xml:space="preserve">Project management, coordination, and administrative overhead</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left"/>
            </w:pPr>
            <w:r>
              <w:t xml:space="preserve">Subtotal (net)</w:t>
            </w:r>
          </w:p>
        </w:tc>
        <w:tc>
          <w:tcPr/>
          <w:p>
            <w:pPr>
              <w:pStyle w:val="Compact"/>
              <w:jc w:val="left"/>
            </w:pPr>
            <w:r>
              <w:t xml:space="preserve">38,530.00</w:t>
            </w:r>
          </w:p>
        </w:tc>
      </w:tr>
      <w:tr>
        <w:tc>
          <w:tcPr>
            <w:gridSpan w:val="5"/>
          </w:tcPr>
          <w:p>
            <w:pPr>
              <w:pStyle w:val="Compact"/>
              <w:jc w:val="left"/>
            </w:pPr>
            <w:r>
              <w:t xml:space="preserve">VAT (Umsatzsteuer) 19%</w:t>
            </w:r>
          </w:p>
        </w:tc>
        <w:tc>
          <w:tcPr/>
          <w:p>
            <w:pPr>
              <w:pStyle w:val="Compact"/>
              <w:jc w:val="left"/>
            </w:pPr>
            <w:r>
              <w:t xml:space="preserve">7,320.70</w:t>
            </w:r>
          </w:p>
        </w:tc>
      </w:tr>
      <w:tr>
        <w:tc>
          <w:tcPr>
            <w:gridSpan w:val="5"/>
          </w:tcPr>
          <w:p>
            <w:pPr>
              <w:pStyle w:val="Compact"/>
              <w:jc w:val="left"/>
            </w:pPr>
            <w:r>
              <w:t xml:space="preserve">Total (gross)</w:t>
            </w:r>
          </w:p>
        </w:tc>
        <w:tc>
          <w:tcPr/>
          <w:p>
            <w:pPr>
              <w:pStyle w:val="Compact"/>
              <w:jc w:val="left"/>
            </w:pPr>
            <w:r>
              <w:t xml:space="preserve">45,850.70</w:t>
            </w:r>
          </w:p>
        </w:tc>
      </w:tr>
    </w:tbl>
    <w:bookmarkEnd w:id="24"/>
    <w:bookmarkStart w:id="25" w:name="payment-schedule"/>
    <w:p>
      <w:pPr>
        <w:pStyle w:val="Heading3"/>
      </w:pPr>
      <w:r>
        <w:t xml:space="preserve">4. Payment Schedule</w:t>
      </w:r>
    </w:p>
    <w:p>
      <w:pPr>
        <w:pStyle w:val="FirstParagraph"/>
      </w:pPr>
      <w:r>
        <w:t xml:space="preserve">This</w:t>
      </w:r>
      <w:r>
        <w:t xml:space="preserve"> </w:t>
      </w:r>
      <w:r>
        <w:t xml:space="preserve">Quotation Estimate</w:t>
      </w:r>
      <w:r>
        <w:t xml:space="preserve"> </w:t>
      </w:r>
      <w:r>
        <w:t xml:space="preserve">assumes the following payment milestones, aligned with standard German construction industry practice (VOB/B):</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gross)</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9,170.14</w:t>
            </w:r>
          </w:p>
        </w:tc>
        <w:tc>
          <w:tcPr/>
          <w:p>
            <w:pPr>
              <w:pStyle w:val="Compact"/>
              <w:jc w:val="left"/>
            </w:pPr>
            <w:r>
              <w:t xml:space="preserve">Upon contract signature</w:t>
            </w:r>
          </w:p>
        </w:tc>
      </w:tr>
      <w:tr>
        <w:tc>
          <w:tcPr/>
          <w:p>
            <w:pPr>
              <w:pStyle w:val="Compact"/>
              <w:jc w:val="left"/>
            </w:pPr>
            <w:r>
              <w:t xml:space="preserve">Interim payment</w:t>
            </w:r>
          </w:p>
        </w:tc>
        <w:tc>
          <w:tcPr/>
          <w:p>
            <w:pPr>
              <w:pStyle w:val="Compact"/>
              <w:jc w:val="left"/>
            </w:pPr>
            <w:r>
              <w:t xml:space="preserve">40%</w:t>
            </w:r>
          </w:p>
        </w:tc>
        <w:tc>
          <w:tcPr/>
          <w:p>
            <w:pPr>
              <w:pStyle w:val="Compact"/>
              <w:jc w:val="left"/>
            </w:pPr>
            <w:r>
              <w:t xml:space="preserve">18,340.28</w:t>
            </w:r>
          </w:p>
        </w:tc>
        <w:tc>
          <w:tcPr/>
          <w:p>
            <w:pPr>
              <w:pStyle w:val="Compact"/>
              <w:jc w:val="left"/>
            </w:pPr>
            <w:r>
              <w:t xml:space="preserve">Completion of NDT and laboratory analysis</w:t>
            </w:r>
          </w:p>
        </w:tc>
      </w:tr>
      <w:tr>
        <w:tc>
          <w:tcPr/>
          <w:p>
            <w:pPr>
              <w:pStyle w:val="Compact"/>
              <w:jc w:val="left"/>
            </w:pPr>
            <w:r>
              <w:t xml:space="preserve">Final payment</w:t>
            </w:r>
          </w:p>
        </w:tc>
        <w:tc>
          <w:tcPr/>
          <w:p>
            <w:pPr>
              <w:pStyle w:val="Compact"/>
              <w:jc w:val="left"/>
            </w:pPr>
            <w:r>
              <w:t xml:space="preserve">40%</w:t>
            </w:r>
          </w:p>
        </w:tc>
        <w:tc>
          <w:tcPr/>
          <w:p>
            <w:pPr>
              <w:pStyle w:val="Compact"/>
              <w:jc w:val="left"/>
            </w:pPr>
            <w:r>
              <w:t xml:space="preserve">18,340.28</w:t>
            </w:r>
          </w:p>
        </w:tc>
        <w:tc>
          <w:tcPr/>
          <w:p>
            <w:pPr>
              <w:pStyle w:val="Compact"/>
              <w:jc w:val="left"/>
            </w:pPr>
            <w:r>
              <w:t xml:space="preserve">Submission of final report and drawings</w:t>
            </w:r>
          </w:p>
        </w:tc>
      </w:tr>
    </w:tbl>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After the expiry date, all rates and conditions are subject to revision without prior notice.</w:t>
      </w:r>
    </w:p>
    <w:p>
      <w:pPr>
        <w:pStyle w:val="BodyText"/>
      </w:pPr>
      <w:r>
        <w:rPr>
          <w:bCs/>
          <w:b/>
        </w:rPr>
        <w:t xml:space="preserve">5.2</w:t>
      </w:r>
      <w:r>
        <w:t xml:space="preserve"> </w:t>
      </w:r>
      <w:r>
        <w:t xml:space="preserve">All prices are quoted in Euro (EUR) and are inclusive of the applicable German value-added tax (Umsatzsteuer) at the current rate of 19%, unless otherwise stated.</w:t>
      </w:r>
    </w:p>
    <w:p>
      <w:pPr>
        <w:pStyle w:val="BodyText"/>
      </w:pPr>
      <w:r>
        <w:rPr>
          <w:bCs/>
          <w:b/>
        </w:rPr>
        <w:t xml:space="preserve">5.3</w:t>
      </w:r>
      <w:r>
        <w:t xml:space="preserve"> </w:t>
      </w:r>
      <w:r>
        <w:t xml:space="preserve">The</w:t>
      </w:r>
      <w:r>
        <w:t xml:space="preserve"> </w:t>
      </w:r>
      <w:r>
        <w:t xml:space="preserve">Civil Engineer</w:t>
      </w:r>
      <w:r>
        <w:t xml:space="preserve"> </w:t>
      </w:r>
      <w:r>
        <w:t xml:space="preserve">services described herein shall be performed in accordance with the German Building Code (BauGB), the Hessian Building Code (HBO), and all applicable DIN and Eurocode standards. The Lead Civil Engineer holds a valid professional registration (Bauingenieur) with the Hessian Chamber of Engineers (Ingenieurkammer Hessen).</w:t>
      </w:r>
    </w:p>
    <w:p>
      <w:pPr>
        <w:pStyle w:val="BodyText"/>
      </w:pPr>
      <w:r>
        <w:rPr>
          <w:bCs/>
          <w:b/>
        </w:rPr>
        <w:t xml:space="preserve">5.4</w:t>
      </w:r>
      <w:r>
        <w:t xml:space="preserve"> </w:t>
      </w:r>
      <w:r>
        <w:t xml:space="preserve">The project timeline is estimated at twelve (12) working weeks from the date of contract execution, subject to weather conditions and access availability at the site in Germany Frankfurt.</w:t>
      </w:r>
    </w:p>
    <w:p>
      <w:pPr>
        <w:pStyle w:val="BodyText"/>
      </w:pPr>
      <w:r>
        <w:rPr>
          <w:bCs/>
          <w:b/>
        </w:rPr>
        <w:t xml:space="preserve">5.5</w:t>
      </w:r>
      <w:r>
        <w:t xml:space="preserve"> </w:t>
      </w:r>
      <w:r>
        <w:t xml:space="preserve">Any additional work beyond the scope defined in Section 3 shall be subject to a separate written amendment to this Quotation Estimate and requires mutual written agreement before execution.</w:t>
      </w:r>
    </w:p>
    <w:p>
      <w:pPr>
        <w:pStyle w:val="BodyText"/>
      </w:pPr>
      <w:r>
        <w:rPr>
          <w:bCs/>
          <w:b/>
        </w:rPr>
        <w:t xml:space="preserve">5.6</w:t>
      </w:r>
      <w:r>
        <w:t xml:space="preserve"> </w:t>
      </w:r>
      <w:r>
        <w:t xml:space="preserve">Payment terms are net 30 days from the date of invoice. Late payments shall accrue interest at the statutory rate pursuant to § 288 of the German Civil Code (BGB).</w:t>
      </w:r>
    </w:p>
    <w:p>
      <w:pPr>
        <w:pStyle w:val="BodyText"/>
      </w:pPr>
      <w:r>
        <w:rPr>
          <w:bCs/>
          <w:b/>
        </w:rPr>
        <w:t xml:space="preserve">5.7</w:t>
      </w:r>
      <w:r>
        <w:t xml:space="preserve"> </w:t>
      </w:r>
      <w:r>
        <w:t xml:space="preserve">This Quotation Estimate does not constitute a binding contract until formally accepted in writing by both parties. Acceptance shall be effected by signature and return of the attached acceptance form.</w:t>
      </w:r>
    </w:p>
    <w:p>
      <w:pPr>
        <w:pStyle w:val="BodyText"/>
      </w:pPr>
      <w:r>
        <w:rPr>
          <w:bCs/>
          <w:b/>
        </w:rPr>
        <w:t xml:space="preserve">5.8</w:t>
      </w:r>
      <w:r>
        <w:t xml:space="preserve"> </w:t>
      </w:r>
      <w:r>
        <w:t xml:space="preserve">Governing law is the law of the Federal Republic of Germany. The exclusive place of jurisdiction for any disputes arising from this Quotation Estimate shall be Frankfurt am Main.</w:t>
      </w:r>
    </w:p>
    <w:bookmarkEnd w:id="26"/>
    <w:p>
      <w:pPr>
        <w:pStyle w:val="BodyText"/>
      </w:pPr>
      <w:r>
        <w:rPr>
          <w:bCs/>
          <w:b/>
        </w:rPr>
        <w:t xml:space="preserve">Note:</w:t>
      </w:r>
      <w:r>
        <w:t xml:space="preserve"> </w:t>
      </w:r>
      <w:r>
        <w:t xml:space="preserve">This Quotation Estimate is prepared exclusively for the named client and the specific project location in Germany Frankfurt. It may not be transferred, reproduced, or used for any other purpose without the prior written consent of Frankfurt Engineering Solutions GmbH. The Civil Engineer services outlined herein are subject to the professional liability insurance coverage held by the firm (policy no. PLI-2025-00432, coverage limit: EUR 5,000,000 per claim).</w:t>
      </w:r>
    </w:p>
    <w:p>
      <w:pPr>
        <w:pStyle w:val="BodyText"/>
      </w:pPr>
      <w:r>
        <w:rPr>
          <w:bCs/>
          <w:b/>
        </w:rPr>
        <w:t xml:space="preserve">For Frankfurt Engineering Solutions GmbH</w:t>
      </w:r>
    </w:p>
    <w:p>
      <w:pPr>
        <w:pStyle w:val="BodyText"/>
      </w:pPr>
      <w:r>
        <w:t xml:space="preserve">Dipl.-Ing. Markus Steinbach, P.Eng.</w:t>
      </w:r>
    </w:p>
    <w:p>
      <w:pPr>
        <w:pStyle w:val="BodyText"/>
      </w:pPr>
      <w:r>
        <w:t xml:space="preserve">Lead Civil Engineer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(Main-Taunus Infrastructure Authority)</w:t>
      </w:r>
    </w:p>
    <w:p>
      <w:pPr>
        <w:pStyle w:val="BodyText"/>
      </w:pPr>
      <w:r>
        <w:t xml:space="preserve">Dr. Heinrich Vogel</w:t>
      </w:r>
    </w:p>
    <w:p>
      <w:pPr>
        <w:pStyle w:val="BodyText"/>
      </w:pPr>
      <w:r>
        <w:t xml:space="preserve">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Frankfurt Engineering Solutions GmbH | Seitzstraße 42, 60313 Frankfurt am Main, Germany | USt-IdNr.: DE 298 765 431</w:t>
      </w:r>
    </w:p>
    <w:p>
      <w:pPr>
        <w:pStyle w:val="BodyText"/>
      </w:pPr>
      <w:r>
        <w:t xml:space="preserve">This Quotation Estimate (Ref. QTE-2025-FRA-0847) was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Germany Frankfurt</dc:title>
  <dc:creator/>
  <dc:language>en</dc:language>
  <cp:keywords/>
  <dcterms:created xsi:type="dcterms:W3CDTF">2026-10-10T03:02:25Z</dcterms:created>
  <dcterms:modified xsi:type="dcterms:W3CDTF">2026-10-10T03:02:25Z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