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quotation-estimate"/>
    <w:p>
      <w:pPr>
        <w:pStyle w:val="Heading1"/>
      </w:pPr>
      <w:r>
        <w:t xml:space="preserve">Quotation Estimate</w:t>
      </w:r>
    </w:p>
    <w:p>
      <w:pPr>
        <w:pStyle w:val="FirstParagraph"/>
      </w:pPr>
      <w:r>
        <w:rPr>
          <w:bCs/>
          <w:b/>
        </w:rPr>
        <w:t xml:space="preserve">PT Nusantara Civil Engineering Solutions</w:t>
      </w:r>
    </w:p>
    <w:p>
      <w:pPr>
        <w:pStyle w:val="BodyText"/>
      </w:pPr>
      <w:r>
        <w:t xml:space="preserve">Jl. Jend. Sudirman Kav. 52-53, SCBD District, Indonesia Jakarta 12190</w:t>
      </w:r>
    </w:p>
    <w:p>
      <w:pPr>
        <w:pStyle w:val="BodyText"/>
      </w:pPr>
      <w:r>
        <w:t xml:space="preserve">Tel: +62-21-5790-1234 | Email: quotation@nusantaracivil.co.id</w:t>
      </w:r>
    </w:p>
    <w:p>
      <w:pPr>
        <w:pStyle w:val="BodyText"/>
      </w:pPr>
      <w:r>
        <w:t xml:space="preserve">NPWP: 01.234.567.8-011.000 | Business License (NIB): 1234567890123</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QTE/CE/JKT/2025/0047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Currency</w:t>
            </w:r>
          </w:p>
        </w:tc>
        <w:tc>
          <w:tcPr/>
          <w:p>
            <w:pPr>
              <w:pStyle w:val="Compact"/>
              <w:jc w:val="left"/>
            </w:pPr>
            <w:r>
              <w:t xml:space="preserve">Indonesian Rupiah (IDR)</w:t>
            </w:r>
          </w:p>
        </w:tc>
      </w:tr>
      <w:tr>
        <w:tc>
          <w:tcPr/>
          <w:p>
            <w:pPr>
              <w:pStyle w:val="Compact"/>
              <w:jc w:val="left"/>
            </w:pPr>
            <w:r>
              <w:t xml:space="preserve">Prepared For</w:t>
            </w:r>
          </w:p>
        </w:tc>
        <w:tc>
          <w:tcPr/>
          <w:p>
            <w:pPr>
              <w:pStyle w:val="Compact"/>
              <w:jc w:val="left"/>
            </w:pPr>
            <w:r>
              <w:t xml:space="preserve">PT Graha Mandiri Development, Jl. Gatot Subroto No. 88, Indonesia Jakarta 12950</w:t>
            </w:r>
          </w:p>
        </w:tc>
        <w:tc>
          <w:tcPr/>
          <w:p>
            <w:pPr>
              <w:pStyle w:val="Compact"/>
              <w:jc w:val="left"/>
            </w:pPr>
            <w:r>
              <w:t xml:space="preserve">Project Reference</w:t>
            </w:r>
          </w:p>
        </w:tc>
        <w:tc>
          <w:tcPr/>
          <w:p>
            <w:pPr>
              <w:pStyle w:val="Compact"/>
              <w:jc w:val="left"/>
            </w:pPr>
            <w:r>
              <w:t xml:space="preserve">Residential Tower Project – South Jakarta</w:t>
            </w:r>
          </w:p>
        </w:tc>
      </w:tr>
      <w:tr>
        <w:tc>
          <w:tcPr/>
          <w:p>
            <w:pPr>
              <w:pStyle w:val="Compact"/>
              <w:jc w:val="left"/>
            </w:pPr>
            <w:r>
              <w:t xml:space="preserve">Prepared By</w:t>
            </w:r>
          </w:p>
        </w:tc>
        <w:tc>
          <w:tcPr/>
          <w:p>
            <w:pPr>
              <w:pStyle w:val="Compact"/>
              <w:jc w:val="left"/>
            </w:pPr>
            <w:r>
              <w:t xml:space="preserve">Ir. Budi Santoso, P.Eng – Lead Civil Engineer</w:t>
            </w:r>
          </w:p>
        </w:tc>
        <w:tc>
          <w:tcPr/>
          <w:p>
            <w:pPr>
              <w:pStyle w:val="Compact"/>
              <w:jc w:val="left"/>
            </w:pPr>
            <w:r>
              <w:t xml:space="preserve">Contact Person</w:t>
            </w:r>
          </w:p>
        </w:tc>
        <w:tc>
          <w:tcPr/>
          <w:p>
            <w:pPr>
              <w:pStyle w:val="Compact"/>
              <w:jc w:val="left"/>
            </w:pPr>
            <w:r>
              <w:t xml:space="preserve">Sari Wulandari, Project Coordinator</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is formally issued by PT Nusantara Civil Engineering Solutions to PT Graha Mandiri Development for the provision of comprehensive</w:t>
      </w:r>
      <w:r>
        <w:t xml:space="preserve"> </w:t>
      </w:r>
      <w:r>
        <w:t xml:space="preserve">Civil Engineer</w:t>
      </w:r>
      <w:r>
        <w:t xml:space="preserve"> </w:t>
      </w:r>
      <w:r>
        <w:t xml:space="preserve">consultancy and structural design services for the proposed 28-storey residential tower project located in the South Jakarta district of</w:t>
      </w:r>
      <w:r>
        <w:t xml:space="preserve"> </w:t>
      </w:r>
      <w:r>
        <w:t xml:space="preserve">Indonesia Jakarta</w:t>
      </w:r>
      <w:r>
        <w:t xml:space="preserve">. This Quotation Estimate outlines the full scope of professional engineering services, associated costs, project timelines, and contractual terms that govern the engagement. All pricing presented herein is based on current market rates applicable to the Indonesia Jakarta construction sector as of the date of issue and reflects the expertise of a licensed Civil Engineer team with over fifteen years of experience delivering high-rise and commercial infrastructure projects across Indonesia Jakarta and the broader Greater Jakarta metropolitan area.</w:t>
      </w:r>
    </w:p>
    <w:bookmarkEnd w:id="21"/>
    <w:bookmarkStart w:id="22" w:name="scope-of-civil-engineer-services"/>
    <w:p>
      <w:pPr>
        <w:pStyle w:val="Heading2"/>
      </w:pPr>
      <w:r>
        <w:t xml:space="preserve">2. Scope of Civil Engineer Services</w:t>
      </w:r>
    </w:p>
    <w:p>
      <w:pPr>
        <w:pStyle w:val="FirstParagraph"/>
      </w:pPr>
      <w:r>
        <w:t xml:space="preserve">The following table details the itemized scope of work to be delivered by our senior</w:t>
      </w:r>
      <w:r>
        <w:t xml:space="preserve"> </w:t>
      </w:r>
      <w:r>
        <w:t xml:space="preserve">Civil Engineer</w:t>
      </w:r>
      <w:r>
        <w:t xml:space="preserve"> </w:t>
      </w:r>
      <w:r>
        <w:t xml:space="preserve">team. Each line item represents a distinct phase of the engineering consultancy process, from initial site assessment through to final construction supervision, all conducted in strict compliance with Indonesian national building codes (SNI), local Indonesia Jakarta municipal regulations, and international engineering best practices.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Civil Engineer Service</w:t>
            </w:r>
          </w:p>
        </w:tc>
        <w:tc>
          <w:tcPr/>
          <w:p>
            <w:pPr>
              <w:pStyle w:val="Compact"/>
              <w:jc w:val="left"/>
            </w:pPr>
            <w:r>
              <w:t xml:space="preserve">Duration</w:t>
            </w:r>
          </w:p>
        </w:tc>
        <w:tc>
          <w:tcPr/>
          <w:p>
            <w:pPr>
              <w:pStyle w:val="Compact"/>
              <w:jc w:val="left"/>
            </w:pPr>
            <w:r>
              <w:t xml:space="preserve">Quantity</w:t>
            </w:r>
          </w:p>
        </w:tc>
        <w:tc>
          <w:tcPr/>
          <w:p>
            <w:pPr>
              <w:pStyle w:val="Compact"/>
              <w:jc w:val="left"/>
            </w:pPr>
            <w:r>
              <w:t xml:space="preserve">Unit Rate (IDR)</w:t>
            </w:r>
          </w:p>
        </w:tc>
        <w:tc>
          <w:tcPr/>
          <w:p>
            <w:pPr>
              <w:pStyle w:val="Compact"/>
              <w:jc w:val="left"/>
            </w:pPr>
            <w:r>
              <w:t xml:space="preserve">Subtotal (IDR)</w:t>
            </w:r>
          </w:p>
        </w:tc>
      </w:tr>
      <w:tr>
        <w:tc>
          <w:tcPr/>
          <w:p>
            <w:pPr>
              <w:pStyle w:val="Compact"/>
              <w:jc w:val="left"/>
            </w:pPr>
            <w:r>
              <w:t xml:space="preserve">1</w:t>
            </w:r>
          </w:p>
        </w:tc>
        <w:tc>
          <w:tcPr/>
          <w:p>
            <w:pPr>
              <w:pStyle w:val="Compact"/>
              <w:jc w:val="left"/>
            </w:pPr>
            <w:r>
              <w:t xml:space="preserve">Geotechnical site investigation and soil analysis for the Indonesia Jakarta project site, including borehole drilling (minimum 6 boreholes at 30m depth) and laboratory testing per SNI 2847</w:t>
            </w:r>
          </w:p>
        </w:tc>
        <w:tc>
          <w:tcPr/>
          <w:p>
            <w:pPr>
              <w:pStyle w:val="Compact"/>
              <w:jc w:val="left"/>
            </w:pPr>
            <w:r>
              <w:t xml:space="preserve">3 weeks</w:t>
            </w:r>
          </w:p>
        </w:tc>
        <w:tc>
          <w:tcPr/>
          <w:p>
            <w:pPr>
              <w:pStyle w:val="Compact"/>
              <w:jc w:val="left"/>
            </w:pPr>
            <w:r>
              <w:t xml:space="preserve">1 lot</w:t>
            </w:r>
          </w:p>
        </w:tc>
        <w:tc>
          <w:tcPr/>
          <w:p>
            <w:pPr>
              <w:pStyle w:val="Compact"/>
              <w:jc w:val="left"/>
            </w:pPr>
            <w:r>
              <w:t xml:space="preserve">85,000,000</w:t>
            </w:r>
          </w:p>
        </w:tc>
        <w:tc>
          <w:tcPr/>
          <w:p>
            <w:pPr>
              <w:pStyle w:val="Compact"/>
              <w:jc w:val="left"/>
            </w:pPr>
            <w:r>
              <w:t xml:space="preserve">85,000,000</w:t>
            </w:r>
          </w:p>
        </w:tc>
      </w:tr>
      <w:tr>
        <w:tc>
          <w:tcPr/>
          <w:p>
            <w:pPr>
              <w:pStyle w:val="Compact"/>
              <w:jc w:val="left"/>
            </w:pPr>
            <w:r>
              <w:t xml:space="preserve">2</w:t>
            </w:r>
          </w:p>
        </w:tc>
        <w:tc>
          <w:tcPr/>
          <w:p>
            <w:pPr>
              <w:pStyle w:val="Compact"/>
              <w:jc w:val="left"/>
            </w:pPr>
            <w:r>
              <w:t xml:space="preserve">Structural design and calculation of foundation system (pile cap, raft foundation) by a licensed Civil Engineer, including seismic analysis per Indonesia Jakarta seismic zone classification</w:t>
            </w:r>
          </w:p>
        </w:tc>
        <w:tc>
          <w:tcPr/>
          <w:p>
            <w:pPr>
              <w:pStyle w:val="Compact"/>
              <w:jc w:val="left"/>
            </w:pPr>
            <w:r>
              <w:t xml:space="preserve">6 weeks</w:t>
            </w:r>
          </w:p>
        </w:tc>
        <w:tc>
          <w:tcPr/>
          <w:p>
            <w:pPr>
              <w:pStyle w:val="Compact"/>
              <w:jc w:val="left"/>
            </w:pPr>
            <w:r>
              <w:t xml:space="preserve">1 lot</w:t>
            </w:r>
          </w:p>
        </w:tc>
        <w:tc>
          <w:tcPr/>
          <w:p>
            <w:pPr>
              <w:pStyle w:val="Compact"/>
              <w:jc w:val="left"/>
            </w:pPr>
            <w:r>
              <w:t xml:space="preserve">220,000,000</w:t>
            </w:r>
          </w:p>
        </w:tc>
        <w:tc>
          <w:tcPr/>
          <w:p>
            <w:pPr>
              <w:pStyle w:val="Compact"/>
              <w:jc w:val="left"/>
            </w:pPr>
            <w:r>
              <w:t xml:space="preserve">220,000,000</w:t>
            </w:r>
          </w:p>
        </w:tc>
      </w:tr>
      <w:tr>
        <w:tc>
          <w:tcPr/>
          <w:p>
            <w:pPr>
              <w:pStyle w:val="Compact"/>
              <w:jc w:val="left"/>
            </w:pPr>
            <w:r>
              <w:t xml:space="preserve">3</w:t>
            </w:r>
          </w:p>
        </w:tc>
        <w:tc>
          <w:tcPr/>
          <w:p>
            <w:pPr>
              <w:pStyle w:val="Compact"/>
              <w:jc w:val="left"/>
            </w:pPr>
            <w:r>
              <w:t xml:space="preserve">Structural design of superstructure (columns, beams, slabs, shear walls) for 28 floors, prepared and stamped by a senior Civil Engineer registered with the Indonesian Professional Engineers Council (IPPKI)</w:t>
            </w:r>
          </w:p>
        </w:tc>
        <w:tc>
          <w:tcPr/>
          <w:p>
            <w:pPr>
              <w:pStyle w:val="Compact"/>
              <w:jc w:val="left"/>
            </w:pPr>
            <w:r>
              <w:t xml:space="preserve">10 weeks</w:t>
            </w:r>
          </w:p>
        </w:tc>
        <w:tc>
          <w:tcPr/>
          <w:p>
            <w:pPr>
              <w:pStyle w:val="Compact"/>
              <w:jc w:val="left"/>
            </w:pPr>
            <w:r>
              <w:t xml:space="preserve">1 lot</w:t>
            </w:r>
          </w:p>
        </w:tc>
        <w:tc>
          <w:tcPr/>
          <w:p>
            <w:pPr>
              <w:pStyle w:val="Compact"/>
              <w:jc w:val="left"/>
            </w:pPr>
            <w:r>
              <w:t xml:space="preserve">450,000,000</w:t>
            </w:r>
          </w:p>
        </w:tc>
        <w:tc>
          <w:tcPr/>
          <w:p>
            <w:pPr>
              <w:pStyle w:val="Compact"/>
              <w:jc w:val="left"/>
            </w:pPr>
            <w:r>
              <w:t xml:space="preserve">450,000,000</w:t>
            </w:r>
          </w:p>
        </w:tc>
      </w:tr>
      <w:tr>
        <w:tc>
          <w:tcPr/>
          <w:p>
            <w:pPr>
              <w:pStyle w:val="Compact"/>
              <w:jc w:val="left"/>
            </w:pPr>
            <w:r>
              <w:t xml:space="preserve">4</w:t>
            </w:r>
          </w:p>
        </w:tc>
        <w:tc>
          <w:tcPr/>
          <w:p>
            <w:pPr>
              <w:pStyle w:val="Compact"/>
              <w:jc w:val="left"/>
            </w:pPr>
            <w:r>
              <w:t xml:space="preserve">Architectural and structural coordination drawings, BIM 3D modelling, and detailed construction documentation package</w:t>
            </w:r>
          </w:p>
        </w:tc>
        <w:tc>
          <w:tcPr/>
          <w:p>
            <w:pPr>
              <w:pStyle w:val="Compact"/>
              <w:jc w:val="left"/>
            </w:pPr>
            <w:r>
              <w:t xml:space="preserve">5 weeks</w:t>
            </w:r>
          </w:p>
        </w:tc>
        <w:tc>
          <w:tcPr/>
          <w:p>
            <w:pPr>
              <w:pStyle w:val="Compact"/>
              <w:jc w:val="left"/>
            </w:pPr>
            <w:r>
              <w:t xml:space="preserve">1 lot</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5</w:t>
            </w:r>
          </w:p>
        </w:tc>
        <w:tc>
          <w:tcPr/>
          <w:p>
            <w:pPr>
              <w:pStyle w:val="Compact"/>
              <w:jc w:val="left"/>
            </w:pPr>
            <w:r>
              <w:t xml:space="preserve">MEP (Mechanical, Electrical, Plumbing) coordination review and integration with structural design by the Civil Engineer team</w:t>
            </w:r>
          </w:p>
        </w:tc>
        <w:tc>
          <w:tcPr/>
          <w:p>
            <w:pPr>
              <w:pStyle w:val="Compact"/>
              <w:jc w:val="left"/>
            </w:pPr>
            <w:r>
              <w:t xml:space="preserve">4 weeks</w:t>
            </w:r>
          </w:p>
        </w:tc>
        <w:tc>
          <w:tcPr/>
          <w:p>
            <w:pPr>
              <w:pStyle w:val="Compact"/>
              <w:jc w:val="left"/>
            </w:pPr>
            <w:r>
              <w:t xml:space="preserve">1 lot</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6</w:t>
            </w:r>
          </w:p>
        </w:tc>
        <w:tc>
          <w:tcPr/>
          <w:p>
            <w:pPr>
              <w:pStyle w:val="Compact"/>
              <w:jc w:val="left"/>
            </w:pPr>
            <w:r>
              <w:t xml:space="preserve">Construction phase supervision and quality assurance by a dedicated Civil Engineer site representative (minimum 2 engineers on-site, 5 days per week) for the full construction period</w:t>
            </w:r>
          </w:p>
        </w:tc>
        <w:tc>
          <w:tcPr/>
          <w:p>
            <w:pPr>
              <w:pStyle w:val="Compact"/>
              <w:jc w:val="left"/>
            </w:pPr>
            <w:r>
              <w:t xml:space="preserve">24 months</w:t>
            </w:r>
          </w:p>
        </w:tc>
        <w:tc>
          <w:tcPr/>
          <w:p>
            <w:pPr>
              <w:pStyle w:val="Compact"/>
              <w:jc w:val="left"/>
            </w:pPr>
            <w:r>
              <w:t xml:space="preserve">24 months</w:t>
            </w:r>
          </w:p>
        </w:tc>
        <w:tc>
          <w:tcPr/>
          <w:p>
            <w:pPr>
              <w:pStyle w:val="Compact"/>
              <w:jc w:val="left"/>
            </w:pPr>
            <w:r>
              <w:t xml:space="preserve">45,000,000</w:t>
            </w:r>
          </w:p>
        </w:tc>
        <w:tc>
          <w:tcPr/>
          <w:p>
            <w:pPr>
              <w:pStyle w:val="Compact"/>
              <w:jc w:val="left"/>
            </w:pPr>
            <w:r>
              <w:t xml:space="preserve">1,080,000,000</w:t>
            </w:r>
          </w:p>
        </w:tc>
      </w:tr>
      <w:tr>
        <w:tc>
          <w:tcPr/>
          <w:p>
            <w:pPr>
              <w:pStyle w:val="Compact"/>
              <w:jc w:val="left"/>
            </w:pPr>
            <w:r>
              <w:t xml:space="preserve">7</w:t>
            </w:r>
          </w:p>
        </w:tc>
        <w:tc>
          <w:tcPr/>
          <w:p>
            <w:pPr>
              <w:pStyle w:val="Compact"/>
              <w:jc w:val="left"/>
            </w:pPr>
            <w:r>
              <w:t xml:space="preserve">As-built documentation, final structural certification, and handover report to the Indonesia Jakarta municipal building authority (Dinas Tata Ruang dan Bangunan)</w:t>
            </w:r>
          </w:p>
        </w:tc>
        <w:tc>
          <w:tcPr/>
          <w:p>
            <w:pPr>
              <w:pStyle w:val="Compact"/>
              <w:jc w:val="left"/>
            </w:pPr>
            <w:r>
              <w:t xml:space="preserve">3 weeks</w:t>
            </w:r>
          </w:p>
        </w:tc>
        <w:tc>
          <w:tcPr/>
          <w:p>
            <w:pPr>
              <w:pStyle w:val="Compact"/>
              <w:jc w:val="left"/>
            </w:pPr>
            <w:r>
              <w:t xml:space="preserve">1 lot</w:t>
            </w:r>
          </w:p>
        </w:tc>
        <w:tc>
          <w:tcPr/>
          <w:p>
            <w:pPr>
              <w:pStyle w:val="Compact"/>
              <w:jc w:val="left"/>
            </w:pPr>
            <w:r>
              <w:t xml:space="preserve">65,000,000</w:t>
            </w:r>
          </w:p>
        </w:tc>
        <w:tc>
          <w:tcPr/>
          <w:p>
            <w:pPr>
              <w:pStyle w:val="Compact"/>
              <w:jc w:val="left"/>
            </w:pPr>
            <w:r>
              <w:t xml:space="preserve">65,000,000</w:t>
            </w:r>
          </w:p>
        </w:tc>
      </w:tr>
      <w:tr>
        <w:tc>
          <w:tcPr/>
          <w:p>
            <w:pPr>
              <w:pStyle w:val="Compact"/>
              <w:jc w:val="left"/>
            </w:pPr>
            <w:r>
              <w:t xml:space="preserve">8</w:t>
            </w:r>
          </w:p>
        </w:tc>
        <w:tc>
          <w:tcPr/>
          <w:p>
            <w:pPr>
              <w:pStyle w:val="Compact"/>
              <w:jc w:val="left"/>
            </w:pPr>
            <w:r>
              <w:t xml:space="preserve">Contingency and unforeseen engineering revisions (up to 10% of design scope)</w:t>
            </w:r>
          </w:p>
        </w:tc>
        <w:tc>
          <w:tcPr/>
          <w:p>
            <w:pPr>
              <w:pStyle w:val="Compact"/>
              <w:jc w:val="left"/>
            </w:pPr>
            <w:r>
              <w:t xml:space="preserve">As required</w:t>
            </w:r>
          </w:p>
        </w:tc>
        <w:tc>
          <w:tcPr/>
          <w:p>
            <w:pPr>
              <w:pStyle w:val="Compact"/>
              <w:jc w:val="left"/>
            </w:pPr>
            <w:r>
              <w:t xml:space="preserve">1 lot</w:t>
            </w:r>
          </w:p>
        </w:tc>
        <w:tc>
          <w:tcPr/>
          <w:p>
            <w:pPr>
              <w:pStyle w:val="Compact"/>
              <w:jc w:val="left"/>
            </w:pPr>
            <w:r>
              <w:t xml:space="preserve">78,000,000</w:t>
            </w:r>
          </w:p>
        </w:tc>
        <w:tc>
          <w:tcPr/>
          <w:p>
            <w:pPr>
              <w:pStyle w:val="Compact"/>
              <w:jc w:val="left"/>
            </w:pPr>
            <w:r>
              <w:t xml:space="preserve">78,000,000</w:t>
            </w:r>
          </w:p>
        </w:tc>
      </w:tr>
      <w:tr>
        <w:tc>
          <w:tcPr>
            <w:gridSpan w:val="5"/>
          </w:tcPr>
          <w:p>
            <w:pPr>
              <w:pStyle w:val="Compact"/>
              <w:jc w:val="right"/>
            </w:pPr>
            <w:r>
              <w:t xml:space="preserve">TOTAL QUOTATION ESTIMATE AMOUNT</w:t>
            </w:r>
          </w:p>
        </w:tc>
        <w:tc>
          <w:tcPr/>
          <w:p>
            <w:pPr>
              <w:pStyle w:val="Compact"/>
              <w:jc w:val="left"/>
            </w:pPr>
            <w:r>
              <w:t xml:space="preserve">2,193,000,000</w:t>
            </w:r>
          </w:p>
        </w:tc>
      </w:tr>
    </w:tbl>
    <w:bookmarkEnd w:id="22"/>
    <w:bookmarkStart w:id="23" w:name="payment-terms-and-schedule"/>
    <w:p>
      <w:pPr>
        <w:pStyle w:val="Heading2"/>
      </w:pPr>
      <w:r>
        <w:t xml:space="preserve">3. Payment Terms and Schedule</w:t>
      </w:r>
    </w:p>
    <w:p>
      <w:pPr>
        <w:pStyle w:val="FirstParagraph"/>
      </w:pPr>
      <w:r>
        <w:t xml:space="preserve">Payment for the services described in this Quotation Estimate shall be made in accordance with the following milestone schedule. All payments are due within fourteen (14) calendar days of invoice issuance. The total Quotation Estimate value of IDR 2,193,000,000 (Two Billion One Hundred Ninety-Three Million Indonesian Rupiah) shall be disbursed as follows:</w:t>
      </w:r>
    </w:p>
    <w:p>
      <w:pPr>
        <w:numPr>
          <w:ilvl w:val="0"/>
          <w:numId w:val="1001"/>
        </w:numPr>
        <w:pStyle w:val="Compact"/>
      </w:pPr>
      <w:r>
        <w:rPr>
          <w:bCs/>
          <w:b/>
        </w:rPr>
        <w:t xml:space="preserve">Milestone 1 (20%):</w:t>
      </w:r>
      <w:r>
        <w:t xml:space="preserve"> </w:t>
      </w:r>
      <w:r>
        <w:t xml:space="preserve">IDR 438,600,000 – Upon signing of the Service Agreement and commencement of geotechnical investigation.</w:t>
      </w:r>
    </w:p>
    <w:p>
      <w:pPr>
        <w:numPr>
          <w:ilvl w:val="0"/>
          <w:numId w:val="1001"/>
        </w:numPr>
        <w:pStyle w:val="Compact"/>
      </w:pPr>
      <w:r>
        <w:rPr>
          <w:bCs/>
          <w:b/>
        </w:rPr>
        <w:t xml:space="preserve">Milestone 2 (25%):</w:t>
      </w:r>
      <w:r>
        <w:t xml:space="preserve"> </w:t>
      </w:r>
      <w:r>
        <w:t xml:space="preserve">IDR 548,250,000 – Upon submission and approval of the complete structural design package by the Civil Engineer team.</w:t>
      </w:r>
    </w:p>
    <w:p>
      <w:pPr>
        <w:numPr>
          <w:ilvl w:val="0"/>
          <w:numId w:val="1001"/>
        </w:numPr>
        <w:pStyle w:val="Compact"/>
      </w:pPr>
      <w:r>
        <w:rPr>
          <w:bCs/>
          <w:b/>
        </w:rPr>
        <w:t xml:space="preserve">Milestone 3 (40%):</w:t>
      </w:r>
      <w:r>
        <w:t xml:space="preserve"> </w:t>
      </w:r>
      <w:r>
        <w:t xml:space="preserve">IDR 877,200,000 – Disbursed monthly in equal instalments (IDR 36,550,000 per month) during the 24-month construction supervision phase.</w:t>
      </w:r>
    </w:p>
    <w:p>
      <w:pPr>
        <w:numPr>
          <w:ilvl w:val="0"/>
          <w:numId w:val="1001"/>
        </w:numPr>
        <w:pStyle w:val="Compact"/>
      </w:pPr>
      <w:r>
        <w:rPr>
          <w:bCs/>
          <w:b/>
        </w:rPr>
        <w:t xml:space="preserve">Milestone 4 (15%):</w:t>
      </w:r>
      <w:r>
        <w:t xml:space="preserve"> </w:t>
      </w:r>
      <w:r>
        <w:t xml:space="preserve">IDR 328,950,000 – Upon completion of as-built documentation and final certification handover to Indonesia Jakarta authorities.</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thirty (30) days from the date of issue. Beyond this period, prices may be subject to revision based on prevailing market conditions in Indonesia Jakarta.</w:t>
      </w:r>
    </w:p>
    <w:p>
      <w:pPr>
        <w:numPr>
          <w:ilvl w:val="0"/>
          <w:numId w:val="1002"/>
        </w:numPr>
        <w:pStyle w:val="Compact"/>
      </w:pPr>
      <w:r>
        <w:t xml:space="preserve">All Civil Engineer services shall be performed by qualified professionals holding valid registration with the Indonesian Professional Engineers Council (IPPKI) and the Ministry of Public Works and Housing (Kementerian PUPR).</w:t>
      </w:r>
    </w:p>
    <w:p>
      <w:pPr>
        <w:numPr>
          <w:ilvl w:val="0"/>
          <w:numId w:val="1002"/>
        </w:numPr>
        <w:pStyle w:val="Compact"/>
      </w:pPr>
      <w:r>
        <w:t xml:space="preserve">The project location is within the administrative boundaries of Indonesia Jakarta, and all regulatory approvals, permits, and compliance documentation shall be coordinated with the relevant Indonesia Jakarta municipal offices.</w:t>
      </w:r>
    </w:p>
    <w:p>
      <w:pPr>
        <w:numPr>
          <w:ilvl w:val="0"/>
          <w:numId w:val="1002"/>
        </w:numPr>
        <w:pStyle w:val="Compact"/>
      </w:pPr>
      <w:r>
        <w:t xml:space="preserve">Any changes to the scope of work beyond the contingency allowance (Item 8) shall be subject to a revised Quotation Estimate and mutual written agreement prior to execution.</w:t>
      </w:r>
    </w:p>
    <w:p>
      <w:pPr>
        <w:numPr>
          <w:ilvl w:val="0"/>
          <w:numId w:val="1002"/>
        </w:numPr>
        <w:pStyle w:val="Compact"/>
      </w:pPr>
      <w:r>
        <w:t xml:space="preserve">PT Nusantara Civil Engineering Solutions shall maintain professional indemnity insurance with a minimum coverage of IDR 5,000,000,000 for the duration of the engagement.</w:t>
      </w:r>
    </w:p>
    <w:p>
      <w:pPr>
        <w:numPr>
          <w:ilvl w:val="0"/>
          <w:numId w:val="1002"/>
        </w:numPr>
        <w:pStyle w:val="Compact"/>
      </w:pPr>
      <w:r>
        <w:t xml:space="preserve">Confidentiality: All project data, drawings, and proprietary information exchanged under this Quotation Estimate shall be treated as strictly confidential by both parties.</w:t>
      </w:r>
    </w:p>
    <w:p>
      <w:pPr>
        <w:numPr>
          <w:ilvl w:val="0"/>
          <w:numId w:val="1002"/>
        </w:numPr>
        <w:pStyle w:val="Compact"/>
      </w:pPr>
      <w:r>
        <w:t xml:space="preserve">Disputes arising from this engagement shall be resolved through mediation in Indonesia Jakarta in accordance with the laws of the Republic of Indonesia.</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agrees to the terms, conditions, and pricing outlined herein for the Civil Engineer services to be delivered in Indonesia Jakarta. This signature constitutes formal acceptance and authorizes PT Nusantara Civil Engineering Solutions to proceed with the project.</w:t>
      </w:r>
    </w:p>
    <w:p>
      <w:pPr>
        <w:pStyle w:val="BodyText"/>
      </w:pPr>
      <w:r>
        <w:rPr>
          <w:bCs/>
          <w:b/>
        </w:rPr>
        <w:t xml:space="preserve">For and on behalf of</w:t>
      </w:r>
    </w:p>
    <w:p>
      <w:pPr>
        <w:pStyle w:val="BodyText"/>
      </w:pPr>
      <w:r>
        <w:rPr>
          <w:bCs/>
          <w:b/>
        </w:rPr>
        <w:t xml:space="preserve">PT Nusantara Civil Engineering Solutions</w:t>
      </w:r>
    </w:p>
    <w:p>
      <w:pPr>
        <w:pStyle w:val="BodyText"/>
      </w:pPr>
      <w:r>
        <w:t xml:space="preserve">Ir. Budi Santoso, P.Eng</w:t>
      </w:r>
    </w:p>
    <w:p>
      <w:pPr>
        <w:pStyle w:val="BodyText"/>
      </w:pPr>
      <w:r>
        <w:t xml:space="preserve">Lead Civil Engineer / Director</w:t>
      </w:r>
    </w:p>
    <w:p>
      <w:pPr>
        <w:pStyle w:val="BodyText"/>
      </w:pPr>
      <w:r>
        <w:t xml:space="preserve">Date: _______________</w:t>
      </w:r>
    </w:p>
    <w:p>
      <w:pPr>
        <w:pStyle w:val="BodyText"/>
      </w:pPr>
      <w:r>
        <w:rPr>
          <w:bCs/>
          <w:b/>
        </w:rPr>
        <w:t xml:space="preserve">For and on behalf of</w:t>
      </w:r>
    </w:p>
    <w:p>
      <w:pPr>
        <w:pStyle w:val="BodyText"/>
      </w:pPr>
      <w:r>
        <w:rPr>
          <w:bCs/>
          <w:b/>
        </w:rPr>
        <w:t xml:space="preserve">PT Graha Mandiri Development</w:t>
      </w:r>
    </w:p>
    <w:p>
      <w:pPr>
        <w:pStyle w:val="BodyText"/>
      </w:pPr>
      <w:r>
        <w:t xml:space="preserve">___________________________</w:t>
      </w:r>
    </w:p>
    <w:p>
      <w:pPr>
        <w:pStyle w:val="BodyText"/>
      </w:pPr>
      <w:r>
        <w:t xml:space="preserve">Name &amp; Title</w:t>
      </w:r>
    </w:p>
    <w:p>
      <w:pPr>
        <w:pStyle w:val="BodyText"/>
      </w:pPr>
      <w:r>
        <w:t xml:space="preserve">Date: _______________</w:t>
      </w:r>
    </w:p>
    <w:p>
      <w:pPr>
        <w:pStyle w:val="BodyText"/>
      </w:pPr>
      <w:r>
        <w:rPr>
          <w:bCs/>
          <w:b/>
        </w:rPr>
        <w:t xml:space="preserve">Important Note:</w:t>
      </w:r>
      <w:r>
        <w:t xml:space="preserve"> </w:t>
      </w:r>
      <w:r>
        <w:t xml:space="preserve">This Quotation Estimate document is a formal commercial proposal issued by PT Nusantara Civil Engineering Solutions. It does not constitute a binding contract until both parties have executed the definitive Service Agreement. All engineering services referenced herein shall be performed by a licensed Civil Engineer in full compliance with the regulations of the Republic of Indonesia and the local government of Indonesia Jakarta. For any clarification or amendment to this Quotation Estimate, please contact our office at +62-21-5790-1234 or quotation@nusantaracivil.co.id.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Indonesia Jakarta</dc:title>
  <dc:creator/>
  <dc:language>en</dc:language>
  <cp:keywords/>
  <dcterms:created xsi:type="dcterms:W3CDTF">2026-10-10T02:57:35Z</dcterms:created>
  <dcterms:modified xsi:type="dcterms:W3CDTF">2026-10-10T02:57:35Z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