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Civil Engineer Services — Iran Tehran</w:t>
      </w:r>
    </w:p>
    <w:bookmarkEnd w:id="20"/>
    <w:bookmarkStart w:id="21" w:name="prepared-by"/>
    <w:p>
      <w:pPr>
        <w:pStyle w:val="Heading3"/>
      </w:pPr>
      <w:r>
        <w:t xml:space="preserve">Prepared By</w:t>
      </w:r>
    </w:p>
    <w:p>
      <w:pPr>
        <w:pStyle w:val="FirstParagraph"/>
      </w:pPr>
      <w:r>
        <w:rPr>
          <w:bCs/>
          <w:b/>
        </w:rPr>
        <w:t xml:space="preserve">Engineer Saeed Mohammadi, P.E.</w:t>
      </w:r>
    </w:p>
    <w:p>
      <w:pPr>
        <w:pStyle w:val="BodyText"/>
      </w:pPr>
      <w:r>
        <w:t xml:space="preserve">Civil Engineer — Structural &amp; Geotechnical Specialist</w:t>
      </w:r>
    </w:p>
    <w:p>
      <w:pPr>
        <w:pStyle w:val="BodyText"/>
      </w:pPr>
      <w:r>
        <w:t xml:space="preserve">License No: IR-CE-2019-44821</w:t>
      </w:r>
    </w:p>
    <w:p>
      <w:pPr>
        <w:pStyle w:val="BodyText"/>
      </w:pPr>
      <w:r>
        <w:t xml:space="preserve">Address: Valiasr Street, District 1, Tehran, Iran</w:t>
      </w:r>
    </w:p>
    <w:p>
      <w:pPr>
        <w:pStyle w:val="BodyText"/>
      </w:pPr>
      <w:r>
        <w:t xml:space="preserve">Email: s.mohammadi@tehrance.ir</w:t>
      </w:r>
    </w:p>
    <w:p>
      <w:pPr>
        <w:pStyle w:val="BodyText"/>
      </w:pPr>
      <w:r>
        <w:t xml:space="preserve">Phone: +98 21 8876 5432</w:t>
      </w:r>
    </w:p>
    <w:bookmarkEnd w:id="21"/>
    <w:bookmarkStart w:id="22" w:name="prepared-for"/>
    <w:p>
      <w:pPr>
        <w:pStyle w:val="Heading3"/>
      </w:pPr>
      <w:r>
        <w:t xml:space="preserve">Prepared For</w:t>
      </w:r>
    </w:p>
    <w:p>
      <w:pPr>
        <w:pStyle w:val="FirstParagraph"/>
      </w:pPr>
      <w:r>
        <w:rPr>
          <w:bCs/>
          <w:b/>
        </w:rPr>
        <w:t xml:space="preserve">Mr. Ali Reza Karimi</w:t>
      </w:r>
    </w:p>
    <w:p>
      <w:pPr>
        <w:pStyle w:val="BodyText"/>
      </w:pPr>
      <w:r>
        <w:t xml:space="preserve">Project Director, Karimi Construction Group</w:t>
      </w:r>
    </w:p>
    <w:p>
      <w:pPr>
        <w:pStyle w:val="BodyText"/>
      </w:pPr>
      <w:r>
        <w:t xml:space="preserve">Address: Enghelab Avenue, District 6, Tehran, Iran</w:t>
      </w:r>
    </w:p>
    <w:p>
      <w:pPr>
        <w:pStyle w:val="BodyText"/>
      </w:pPr>
      <w:r>
        <w:t xml:space="preserve">Email: a.karimi@karimicon.ir</w:t>
      </w:r>
    </w:p>
    <w:p>
      <w:pPr>
        <w:pStyle w:val="BodyText"/>
      </w:pPr>
      <w:r>
        <w:t xml:space="preserve">Phone: +98 21 4455 6677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QTE-TEH-2025-00347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Project Location:</w:t>
            </w:r>
          </w:p>
        </w:tc>
        <w:tc>
          <w:tcPr/>
          <w:p>
            <w:pPr>
              <w:pStyle w:val="Compact"/>
              <w:jc w:val="left"/>
            </w:pPr>
            <w:r>
              <w:t xml:space="preserve">Iran Tehran, District 2, North Khorasgan Road</w:t>
            </w:r>
          </w:p>
        </w:tc>
      </w:tr>
      <w:tr>
        <w:tc>
          <w:tcPr/>
          <w:p>
            <w:pPr>
              <w:pStyle w:val="Compact"/>
              <w:jc w:val="left"/>
            </w:pPr>
            <w:r>
              <w:t xml:space="preserve">Project Title:</w:t>
            </w:r>
          </w:p>
        </w:tc>
        <w:tc>
          <w:tcPr/>
          <w:p>
            <w:pPr>
              <w:pStyle w:val="Compact"/>
              <w:jc w:val="left"/>
            </w:pPr>
            <w:r>
              <w:t xml:space="preserve">Residential Complex — 12-Story Mixed-Use Building</w:t>
            </w:r>
          </w:p>
        </w:tc>
      </w:tr>
      <w:tr>
        <w:tc>
          <w:tcPr/>
          <w:p>
            <w:pPr>
              <w:pStyle w:val="Compact"/>
              <w:jc w:val="left"/>
            </w:pPr>
            <w:r>
              <w:t xml:space="preserve">Currency:</w:t>
            </w:r>
          </w:p>
        </w:tc>
        <w:tc>
          <w:tcPr/>
          <w:p>
            <w:pPr>
              <w:pStyle w:val="Compact"/>
              <w:jc w:val="left"/>
            </w:pPr>
            <w:r>
              <w:t xml:space="preserve">Iranian Rial (IRR) / USD equivalent</w:t>
            </w:r>
          </w:p>
        </w:tc>
      </w:tr>
    </w:tbl>
    <w:bookmarkStart w:id="23" w:name="scope-of-civil-engineer-services"/>
    <w:p>
      <w:pPr>
        <w:pStyle w:val="Heading2"/>
      </w:pPr>
      <w:r>
        <w:t xml:space="preserve">1. Scope of Civil Engineer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Civil Engineer</w:t>
      </w:r>
      <w:r>
        <w:t xml:space="preserve"> </w:t>
      </w:r>
      <w:r>
        <w:t xml:space="preserve">to provide comprehensive structural, geotechnical, and construction oversight services for the aforementioned residential and commercial complex located in</w:t>
      </w:r>
      <w:r>
        <w:t xml:space="preserve"> </w:t>
      </w:r>
      <w:r>
        <w:t xml:space="preserve">Iran Tehran</w:t>
      </w:r>
      <w:r>
        <w:t xml:space="preserve">. The scope of work encompasses the full lifecycle of engineering support from preliminary design through to final handover, in strict compliance with the Iranian National Building Code (Standard 2800) and all applicable municipal regulations of Tehran Municipality.</w:t>
      </w:r>
    </w:p>
    <w:p>
      <w:pPr>
        <w:numPr>
          <w:ilvl w:val="0"/>
          <w:numId w:val="1001"/>
        </w:numPr>
        <w:pStyle w:val="Compact"/>
      </w:pPr>
      <w:r>
        <w:rPr>
          <w:bCs/>
          <w:b/>
        </w:rPr>
        <w:t xml:space="preserve">Geotechnical Investigation &amp; Site Analysis:</w:t>
      </w:r>
      <w:r>
        <w:t xml:space="preserve"> </w:t>
      </w:r>
      <w:r>
        <w:t xml:space="preserve">Review of soil bearing capacity reports, seismic zone classification (Zone 2 per Tehran seismic maps), and groundwater assessment for the plot situated in the central Tehran metropolitan area.</w:t>
      </w:r>
    </w:p>
    <w:p>
      <w:pPr>
        <w:numPr>
          <w:ilvl w:val="0"/>
          <w:numId w:val="1001"/>
        </w:numPr>
        <w:pStyle w:val="Compact"/>
      </w:pPr>
      <w:r>
        <w:rPr>
          <w:bCs/>
          <w:b/>
        </w:rPr>
        <w:t xml:space="preserve">Structural Design &amp; Calculations:</w:t>
      </w:r>
      <w:r>
        <w:t xml:space="preserve"> </w:t>
      </w:r>
      <w:r>
        <w:t xml:space="preserve">Complete design of the reinforced concrete frame system, including foundation design (raft and pile), column, beam, slab, and shear wall sizing for a 12-story structure with a total built-up area of approximately 18,500 square meters.</w:t>
      </w:r>
    </w:p>
    <w:p>
      <w:pPr>
        <w:numPr>
          <w:ilvl w:val="0"/>
          <w:numId w:val="1001"/>
        </w:numPr>
        <w:pStyle w:val="Compact"/>
      </w:pPr>
      <w:r>
        <w:rPr>
          <w:bCs/>
          <w:b/>
        </w:rPr>
        <w:t xml:space="preserve">Seismic Design Compliance:</w:t>
      </w:r>
      <w:r>
        <w:t xml:space="preserve"> </w:t>
      </w:r>
      <w:r>
        <w:t xml:space="preserve">All structural elements shall be designed in accordance with the Iranian Seismic Design Code (Standard 2800, 5th Edition) applicable to Iran Tehran, accounting for the specific soil-structure interaction parameters of the site.</w:t>
      </w:r>
    </w:p>
    <w:p>
      <w:pPr>
        <w:numPr>
          <w:ilvl w:val="0"/>
          <w:numId w:val="1001"/>
        </w:numPr>
        <w:pStyle w:val="Compact"/>
      </w:pPr>
      <w:r>
        <w:rPr>
          <w:bCs/>
          <w:b/>
        </w:rPr>
        <w:t xml:space="preserve">Construction Drawings &amp; Specifications:</w:t>
      </w:r>
      <w:r>
        <w:t xml:space="preserve"> </w:t>
      </w:r>
      <w:r>
        <w:t xml:space="preserve">Preparation of detailed structural shop drawings, reinforcement detailing, connection specifications, and material schedules for contractor execution.</w:t>
      </w:r>
    </w:p>
    <w:p>
      <w:pPr>
        <w:numPr>
          <w:ilvl w:val="0"/>
          <w:numId w:val="1001"/>
        </w:numPr>
        <w:pStyle w:val="Compact"/>
      </w:pPr>
      <w:r>
        <w:rPr>
          <w:bCs/>
          <w:b/>
        </w:rPr>
        <w:t xml:space="preserve">Construction Phase Supervision:</w:t>
      </w:r>
      <w:r>
        <w:t xml:space="preserve"> </w:t>
      </w:r>
      <w:r>
        <w:t xml:space="preserve">On-site inspection visits (minimum 4 visits per month) to verify that the contractor's work aligns with the approved structural design and quality standards.</w:t>
      </w:r>
    </w:p>
    <w:p>
      <w:pPr>
        <w:numPr>
          <w:ilvl w:val="0"/>
          <w:numId w:val="1001"/>
        </w:numPr>
        <w:pStyle w:val="Compact"/>
      </w:pPr>
      <w:r>
        <w:rPr>
          <w:bCs/>
          <w:b/>
        </w:rPr>
        <w:t xml:space="preserve">As-Built Documentation:</w:t>
      </w:r>
      <w:r>
        <w:t xml:space="preserve"> </w:t>
      </w:r>
      <w:r>
        <w:t xml:space="preserve">Compilation and delivery of final as-built structural drawings and a comprehensive engineering report upon project completion.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Geotechnical review &amp; site assessment report</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Structural design &amp; engineering calculations (12-story RC frame)</w:t>
            </w:r>
          </w:p>
        </w:tc>
        <w:tc>
          <w:tcPr/>
          <w:p>
            <w:pPr>
              <w:pStyle w:val="Compact"/>
              <w:jc w:val="left"/>
            </w:pPr>
            <w:r>
              <w:t xml:space="preserve">1 lot</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t xml:space="preserve">03</w:t>
            </w:r>
          </w:p>
        </w:tc>
        <w:tc>
          <w:tcPr/>
          <w:p>
            <w:pPr>
              <w:pStyle w:val="Compact"/>
              <w:jc w:val="left"/>
            </w:pPr>
            <w:r>
              <w:t xml:space="preserve">Seismic analysis &amp; compliance verification (Standard 2800)</w:t>
            </w:r>
          </w:p>
        </w:tc>
        <w:tc>
          <w:tcPr/>
          <w:p>
            <w:pPr>
              <w:pStyle w:val="Compact"/>
              <w:jc w:val="left"/>
            </w:pPr>
            <w:r>
              <w:t xml:space="preserve">1 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04</w:t>
            </w:r>
          </w:p>
        </w:tc>
        <w:tc>
          <w:tcPr/>
          <w:p>
            <w:pPr>
              <w:pStyle w:val="Compact"/>
              <w:jc w:val="left"/>
            </w:pPr>
            <w:r>
              <w:t xml:space="preserve">Construction drawings, reinforcement detailing &amp; specifications</w:t>
            </w:r>
          </w:p>
        </w:tc>
        <w:tc>
          <w:tcPr/>
          <w:p>
            <w:pPr>
              <w:pStyle w:val="Compact"/>
              <w:jc w:val="left"/>
            </w:pPr>
            <w:r>
              <w:t xml:space="preserve">1 lot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Construction phase supervision (48 months, 4 visits/month)</w:t>
            </w:r>
          </w:p>
        </w:tc>
        <w:tc>
          <w:tcPr/>
          <w:p>
            <w:pPr>
              <w:pStyle w:val="Compact"/>
              <w:jc w:val="left"/>
            </w:pPr>
            <w:r>
              <w:t xml:space="preserve">192 visits</w:t>
            </w:r>
          </w:p>
        </w:tc>
        <w:tc>
          <w:tcPr/>
          <w:p>
            <w:pPr>
              <w:pStyle w:val="Compact"/>
              <w:jc w:val="left"/>
            </w:pPr>
            <w:r>
              <w:t xml:space="preserve">8,500,000</w:t>
            </w:r>
          </w:p>
        </w:tc>
        <w:tc>
          <w:tcPr/>
          <w:p>
            <w:pPr>
              <w:pStyle w:val="Compact"/>
              <w:jc w:val="left"/>
            </w:pPr>
            <w:r>
              <w:t xml:space="preserve">1,632,000,000</w:t>
            </w:r>
          </w:p>
        </w:tc>
      </w:tr>
      <w:tr>
        <w:tc>
          <w:tcPr/>
          <w:p>
            <w:pPr>
              <w:pStyle w:val="Compact"/>
              <w:jc w:val="left"/>
            </w:pPr>
            <w:r>
              <w:t xml:space="preserve">06</w:t>
            </w:r>
          </w:p>
        </w:tc>
        <w:tc>
          <w:tcPr/>
          <w:p>
            <w:pPr>
              <w:pStyle w:val="Compact"/>
              <w:jc w:val="left"/>
            </w:pPr>
            <w:r>
              <w:t xml:space="preserve">As-built documentation &amp; final engineering report</w:t>
            </w:r>
          </w:p>
        </w:tc>
        <w:tc>
          <w:tcPr/>
          <w:p>
            <w:pPr>
              <w:pStyle w:val="Compact"/>
              <w:jc w:val="left"/>
            </w:pPr>
            <w:r>
              <w:t xml:space="preserve">1 lot</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07</w:t>
            </w:r>
          </w:p>
        </w:tc>
        <w:tc>
          <w:tcPr/>
          <w:p>
            <w:pPr>
              <w:pStyle w:val="Compact"/>
              <w:jc w:val="left"/>
            </w:pPr>
            <w:r>
              <w:t xml:space="preserve">Coordination with Tehran Municipality &amp; regulatory approvals</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r>
      <w:tr>
        <w:tc>
          <w:tcPr>
            <w:gridSpan w:val="4"/>
          </w:tcPr>
          <w:p>
            <w:pPr>
              <w:pStyle w:val="Compact"/>
              <w:jc w:val="left"/>
            </w:pPr>
            <w:r>
              <w:t xml:space="preserve">Subtotal</w:t>
            </w:r>
          </w:p>
        </w:tc>
        <w:tc>
          <w:tcPr/>
          <w:p>
            <w:pPr>
              <w:pStyle w:val="Compact"/>
              <w:jc w:val="left"/>
            </w:pPr>
            <w:r>
              <w:t xml:space="preserve">2,362,000,000</w:t>
            </w:r>
          </w:p>
        </w:tc>
      </w:tr>
      <w:tr>
        <w:tc>
          <w:tcPr>
            <w:gridSpan w:val="4"/>
          </w:tcPr>
          <w:p>
            <w:pPr>
              <w:pStyle w:val="Compact"/>
              <w:jc w:val="left"/>
            </w:pPr>
            <w:r>
              <w:t xml:space="preserve">VAT (10%)</w:t>
            </w:r>
          </w:p>
        </w:tc>
        <w:tc>
          <w:tcPr/>
          <w:p>
            <w:pPr>
              <w:pStyle w:val="Compact"/>
              <w:jc w:val="left"/>
            </w:pPr>
            <w:r>
              <w:t xml:space="preserve">236,200,000</w:t>
            </w:r>
          </w:p>
        </w:tc>
      </w:tr>
      <w:tr>
        <w:tc>
          <w:tcPr>
            <w:gridSpan w:val="4"/>
          </w:tcPr>
          <w:p>
            <w:pPr>
              <w:pStyle w:val="Compact"/>
              <w:jc w:val="left"/>
            </w:pPr>
            <w:r>
              <w:rPr>
                <w:bCs/>
                <w:b/>
              </w:rPr>
              <w:t xml:space="preserve">Grand Total (IRR)</w:t>
            </w:r>
          </w:p>
        </w:tc>
        <w:tc>
          <w:tcPr/>
          <w:p>
            <w:pPr>
              <w:pStyle w:val="Compact"/>
              <w:jc w:val="left"/>
            </w:pPr>
            <w:r>
              <w:rPr>
                <w:bCs/>
                <w:b/>
              </w:rPr>
              <w:t xml:space="preserve">2,598,200,000</w:t>
            </w:r>
          </w:p>
        </w:tc>
      </w:tr>
      <w:tr>
        <w:tc>
          <w:tcPr>
            <w:gridSpan w:val="4"/>
          </w:tcPr>
          <w:p>
            <w:pPr>
              <w:pStyle w:val="Compact"/>
              <w:jc w:val="left"/>
            </w:pPr>
            <w:r>
              <w:rPr>
                <w:bCs/>
                <w:b/>
              </w:rPr>
              <w:t xml:space="preserve">Grand Total (USD Approx.)</w:t>
            </w:r>
          </w:p>
        </w:tc>
        <w:tc>
          <w:tcPr/>
          <w:p>
            <w:pPr>
              <w:pStyle w:val="Compact"/>
              <w:jc w:val="left"/>
            </w:pPr>
            <w:r>
              <w:rPr>
                <w:bCs/>
                <w:b/>
              </w:rPr>
              <w:t xml:space="preserve">~$6,245</w:t>
            </w:r>
          </w:p>
        </w:tc>
      </w:tr>
    </w:tbl>
    <w:bookmarkEnd w:id="24"/>
    <w:bookmarkStart w:id="25" w:name="payment-schedule"/>
    <w:p>
      <w:pPr>
        <w:pStyle w:val="Heading2"/>
      </w:pPr>
      <w:r>
        <w:t xml:space="preserve">3. Payment Schedule</w:t>
      </w:r>
    </w:p>
    <w:p>
      <w:pPr>
        <w:numPr>
          <w:ilvl w:val="0"/>
          <w:numId w:val="1002"/>
        </w:numPr>
        <w:pStyle w:val="Compact"/>
      </w:pPr>
      <w:r>
        <w:rPr>
          <w:bCs/>
          <w:b/>
        </w:rPr>
        <w:t xml:space="preserve">20% Advance Payment:</w:t>
      </w:r>
      <w:r>
        <w:t xml:space="preserve"> </w:t>
      </w:r>
      <w:r>
        <w:t xml:space="preserve">Due upon signing of the service agreement and issuance of this Quotation Estimate acceptance.</w:t>
      </w:r>
    </w:p>
    <w:p>
      <w:pPr>
        <w:numPr>
          <w:ilvl w:val="0"/>
          <w:numId w:val="1002"/>
        </w:numPr>
        <w:pStyle w:val="Compact"/>
      </w:pPr>
      <w:r>
        <w:rPr>
          <w:bCs/>
          <w:b/>
        </w:rPr>
        <w:t xml:space="preserve">30% upon Design Completion:</w:t>
      </w:r>
      <w:r>
        <w:t xml:space="preserve"> </w:t>
      </w:r>
      <w:r>
        <w:t xml:space="preserve">Payable upon delivery of all structural drawings and calculations for client review.</w:t>
      </w:r>
    </w:p>
    <w:p>
      <w:pPr>
        <w:numPr>
          <w:ilvl w:val="0"/>
          <w:numId w:val="1002"/>
        </w:numPr>
        <w:pStyle w:val="Compact"/>
      </w:pPr>
      <w:r>
        <w:rPr>
          <w:bCs/>
          <w:b/>
        </w:rPr>
        <w:t xml:space="preserve">40% during Construction Phase:</w:t>
      </w:r>
      <w:r>
        <w:t xml:space="preserve"> </w:t>
      </w:r>
      <w:r>
        <w:t xml:space="preserve">Disbursed in equal monthly installments over the 48-month construction period, contingent upon satisfactory site inspection reports.</w:t>
      </w:r>
    </w:p>
    <w:p>
      <w:pPr>
        <w:numPr>
          <w:ilvl w:val="0"/>
          <w:numId w:val="1002"/>
        </w:numPr>
        <w:pStyle w:val="Compact"/>
      </w:pPr>
      <w:r>
        <w:rPr>
          <w:bCs/>
          <w:b/>
        </w:rPr>
        <w:t xml:space="preserve">10% Final Payment:</w:t>
      </w:r>
      <w:r>
        <w:t xml:space="preserve"> </w:t>
      </w:r>
      <w:r>
        <w:t xml:space="preserve">Payable upon delivery of the as-built documentation package and final engineering sign-off.</w:t>
      </w:r>
    </w:p>
    <w:bookmarkEnd w:id="25"/>
    <w:bookmarkStart w:id="26" w:name="terms-and-conditions"/>
    <w:p>
      <w:pPr>
        <w:pStyle w:val="Heading2"/>
      </w:pPr>
      <w:r>
        <w:t xml:space="preserve">4. Terms and Conditions</w:t>
      </w:r>
    </w:p>
    <w:p>
      <w:pPr>
        <w:numPr>
          <w:ilvl w:val="0"/>
          <w:numId w:val="1003"/>
        </w:numPr>
        <w:pStyle w:val="Compact"/>
      </w:pPr>
      <w:r>
        <w:t xml:space="preserve">This Quotation Estimate is valid for thirty (30) calendar days from the date of issue. Beyond this period, rates may be subject to revision based on prevailing market conditions in Iran Tehran.</w:t>
      </w:r>
    </w:p>
    <w:p>
      <w:pPr>
        <w:numPr>
          <w:ilvl w:val="0"/>
          <w:numId w:val="1003"/>
        </w:numPr>
        <w:pStyle w:val="Compact"/>
      </w:pPr>
      <w:r>
        <w:t xml:space="preserve">All services shall be performed by the named Civil Engineer or their directly supervised team of licensed structural engineers. Subcontracting of core design work is not permitted without prior written consent.</w:t>
      </w:r>
    </w:p>
    <w:p>
      <w:pPr>
        <w:numPr>
          <w:ilvl w:val="0"/>
          <w:numId w:val="1003"/>
        </w:numPr>
        <w:pStyle w:val="Compact"/>
      </w:pPr>
      <w:r>
        <w:t xml:space="preserve">The client shall provide timely access to the construction site, all relevant geotechnical data, and architectural drawings within five (5) business days of request to avoid schedule delays.</w:t>
      </w:r>
    </w:p>
    <w:p>
      <w:pPr>
        <w:numPr>
          <w:ilvl w:val="0"/>
          <w:numId w:val="1003"/>
        </w:numPr>
        <w:pStyle w:val="Compact"/>
      </w:pPr>
      <w:r>
        <w:t xml:space="preserve">Any scope changes, additional structural modifications, or changes in building height/footprint beyond the originally approved design shall be subject to a separate supplementary Quotation Estimate.</w:t>
      </w:r>
    </w:p>
    <w:p>
      <w:pPr>
        <w:numPr>
          <w:ilvl w:val="0"/>
          <w:numId w:val="1003"/>
        </w:numPr>
        <w:pStyle w:val="Compact"/>
      </w:pPr>
      <w:r>
        <w:t xml:space="preserve">The Civil Engineer's liability is limited to the professional services described herein and does not extend to contractor workmanship, material defects, or force majeure events including but not limited to natural disasters affecting the Iran Tehran region.</w:t>
      </w:r>
    </w:p>
    <w:p>
      <w:pPr>
        <w:numPr>
          <w:ilvl w:val="0"/>
          <w:numId w:val="1003"/>
        </w:numPr>
        <w:pStyle w:val="Compact"/>
      </w:pPr>
      <w:r>
        <w:t xml:space="preserve">All intellectual property rights in the design documents, calculations, and reports remain with the Civil Engineer until full payment is received.</w:t>
      </w:r>
    </w:p>
    <w:p>
      <w:pPr>
        <w:numPr>
          <w:ilvl w:val="0"/>
          <w:numId w:val="1003"/>
        </w:numPr>
        <w:pStyle w:val="Compact"/>
      </w:pPr>
      <w:r>
        <w:t xml:space="preserve">Governing law: The Islamic Republic of Iran. Any disputes shall be resolved through the Tehran Arbitration Center.</w:t>
      </w:r>
    </w:p>
    <w:p>
      <w:pPr>
        <w:numPr>
          <w:ilvl w:val="0"/>
          <w:numId w:val="1003"/>
        </w:numPr>
        <w:pStyle w:val="Compact"/>
      </w:pPr>
      <w:r>
        <w:t xml:space="preserve">This Quotation Estimate does not constitute a binding contract until both parties execute the formal Service Agreement in duplicate.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 Quotation Estimate accurately reflects the scope, cost, and terms of the Civil Engineer services to be rendered for the project located in Iran Tehran. This document serves as the foundational pricing reference for the subsequent formal contract.</w:t>
      </w:r>
    </w:p>
    <w:p>
      <w:pPr>
        <w:pStyle w:val="BodyText"/>
      </w:pPr>
      <w:r>
        <w:rPr>
          <w:bCs/>
          <w:b/>
        </w:rPr>
        <w:t xml:space="preserve">Engineer Saeed Mohammadi, P.E.</w:t>
      </w:r>
      <w:r>
        <w:br/>
      </w:r>
      <w:r>
        <w:t xml:space="preserve">Civil Engineer — Service Provider</w:t>
      </w:r>
      <w:r>
        <w:br/>
      </w:r>
      <w:r>
        <w:t xml:space="preserve">Date: _______________</w:t>
      </w:r>
    </w:p>
    <w:p>
      <w:pPr>
        <w:pStyle w:val="BodyText"/>
      </w:pPr>
      <w:r>
        <w:rPr>
          <w:bCs/>
          <w:b/>
        </w:rPr>
        <w:t xml:space="preserve">Mr. Ali Reza Karimi</w:t>
      </w:r>
      <w:r>
        <w:br/>
      </w:r>
      <w:r>
        <w:t xml:space="preserve">Project Director — Client</w:t>
      </w:r>
      <w:r>
        <w:br/>
      </w:r>
      <w:r>
        <w:t xml:space="preserve">Date: _______________</w:t>
      </w:r>
    </w:p>
    <w:p>
      <w:pPr>
        <w:pStyle w:val="BodyText"/>
      </w:pPr>
      <w:r>
        <w:rPr>
          <w:bCs/>
          <w:b/>
        </w:rPr>
        <w:t xml:space="preserve">Note:</w:t>
      </w:r>
      <w:r>
        <w:t xml:space="preserve"> </w:t>
      </w:r>
      <w:r>
        <w:t xml:space="preserve">This Quotation Estimate (Ref: QTE-TEH-2025-00347) is prepared exclusively for the named client and project in Iran Tehran. It shall not be reproduced, distributed, or used for any other purpose without the written permission of the issuing Civil Engineer. All rates are quoted in Iranian Rial (IRR) and are subject to the exchange rate prevailing at the time of payment. The USD equivalent is provided for reference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Iran Tehran</dc:title>
  <dc:creator/>
  <dc:language>en</dc:language>
  <cp:keywords/>
  <dcterms:created xsi:type="dcterms:W3CDTF">2026-10-10T01:12:52Z</dcterms:created>
  <dcterms:modified xsi:type="dcterms:W3CDTF">2026-10-10T01:12:52Z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