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Civil Engineer Services — Israel Jerusalem</w:t>
      </w:r>
    </w:p>
    <w:p>
      <w:pPr>
        <w:pStyle w:val="BodyText"/>
      </w:pPr>
      <w:r>
        <w:t xml:space="preserve">Document Reference: QE-2025-JER-0472 | Date: 15 June 2025</w:t>
      </w:r>
    </w:p>
    <w:bookmarkEnd w:id="20"/>
    <w:p>
      <w:pPr>
        <w:pStyle w:val="BodyText"/>
      </w:pPr>
      <w:r>
        <w:rPr>
          <w:bCs/>
          <w:b/>
        </w:rPr>
        <w:t xml:space="preserve">Prepared By:</w:t>
      </w:r>
      <w:r>
        <w:br/>
      </w:r>
      <w:r>
        <w:t xml:space="preserve">Levant Civil Engineering Ltd.</w:t>
      </w:r>
      <w:r>
        <w:br/>
      </w:r>
      <w:r>
        <w:t xml:space="preserve">42 King George Street, Jerusalem 91000, Israel</w:t>
      </w:r>
      <w:r>
        <w:br/>
      </w:r>
      <w:r>
        <w:t xml:space="preserve">Tel: +972-2-625-4410 | Email: estimates@levantcivil.co.il</w:t>
      </w:r>
      <w:r>
        <w:br/>
      </w:r>
      <w:r>
        <w:t xml:space="preserve">License No.: IL-CE-2019-08834</w:t>
      </w:r>
    </w:p>
    <w:p>
      <w:pPr>
        <w:pStyle w:val="BodyText"/>
      </w:pPr>
      <w:r>
        <w:rPr>
          <w:bCs/>
          <w:b/>
        </w:rPr>
        <w:t xml:space="preserve">Prepared For:</w:t>
      </w:r>
      <w:r>
        <w:br/>
      </w:r>
      <w:r>
        <w:t xml:space="preserve">Municipality of Jerusalem — Infrastructure Division</w:t>
      </w:r>
      <w:r>
        <w:br/>
      </w:r>
      <w:r>
        <w:t xml:space="preserve">10 Jaffa Road, Jerusalem 97000, Israel</w:t>
      </w:r>
      <w:r>
        <w:br/>
      </w:r>
      <w:r>
        <w:t xml:space="preserve">Attn: Mr. David Ben-Ami, Project Director</w:t>
      </w:r>
      <w:r>
        <w:br/>
      </w:r>
      <w:r>
        <w:t xml:space="preserve">Tel: +972-2-629-2000</w:t>
      </w:r>
    </w:p>
    <w:bookmarkStart w:id="21"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Levant Civil Engineering Ltd. in response to the formal request for professional</w:t>
      </w:r>
      <w:r>
        <w:t xml:space="preserve"> </w:t>
      </w:r>
      <w:r>
        <w:t xml:space="preserve">Civil Engineer</w:t>
      </w:r>
      <w:r>
        <w:t xml:space="preserve"> </w:t>
      </w:r>
      <w:r>
        <w:t xml:space="preserve">consultation and structural assessment services for the renovation and reinforcement of the historic water drainage infrastructure located in the Old City district of</w:t>
      </w:r>
      <w:r>
        <w:t xml:space="preserve"> </w:t>
      </w:r>
      <w:r>
        <w:t xml:space="preserve">Israel Jerusalem</w:t>
      </w:r>
      <w:r>
        <w:t xml:space="preserve">. The scope of this engagement encompasses a comprehensive geotechnical survey, structural integrity evaluation, and the preparation of detailed engineering drawings compliant with Israeli Building Code (SII 3001) and the Jerusalem Municipal Planning Regulations.</w:t>
      </w:r>
    </w:p>
    <w:p>
      <w:pPr>
        <w:pStyle w:val="BodyText"/>
      </w:pPr>
      <w:r>
        <w:t xml:space="preserve">The</w:t>
      </w:r>
      <w:r>
        <w:t xml:space="preserve"> </w:t>
      </w:r>
      <w:r>
        <w:t xml:space="preserve">Civil Engineer</w:t>
      </w:r>
      <w:r>
        <w:t xml:space="preserve"> </w:t>
      </w:r>
      <w:r>
        <w:t xml:space="preserve">team assigned to this project will operate exclusively within the jurisdiction of</w:t>
      </w:r>
      <w:r>
        <w:t xml:space="preserve"> </w:t>
      </w:r>
      <w:r>
        <w:t xml:space="preserve">Israel Jerusalem</w:t>
      </w:r>
      <w:r>
        <w:t xml:space="preserve">, adhering to all local heritage preservation guidelines issued by the Israel Antiquities Authority and the Jerusalem Development Authority. All deliverables under this</w:t>
      </w:r>
      <w:r>
        <w:t xml:space="preserve"> </w:t>
      </w:r>
      <w:r>
        <w:t xml:space="preserve">Quotation Estimate</w:t>
      </w:r>
      <w:r>
        <w:t xml:space="preserve"> </w:t>
      </w:r>
      <w:r>
        <w:t xml:space="preserve">will be submitted in both Hebrew and English to satisfy the bilingual documentation requirements of the Municipality of Jerusalem.</w:t>
      </w:r>
    </w:p>
    <w:bookmarkEnd w:id="21"/>
    <w:bookmarkStart w:id="22" w:name="scope-of-work"/>
    <w:p>
      <w:pPr>
        <w:pStyle w:val="Heading2"/>
      </w:pPr>
      <w:r>
        <w:t xml:space="preserve">2.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Cost (ILS)</w:t>
            </w:r>
          </w:p>
        </w:tc>
      </w:tr>
      <w:tr>
        <w:tc>
          <w:tcPr/>
          <w:p>
            <w:pPr>
              <w:pStyle w:val="Compact"/>
              <w:jc w:val="left"/>
            </w:pPr>
            <w:r>
              <w:t xml:space="preserve">1</w:t>
            </w:r>
          </w:p>
        </w:tc>
        <w:tc>
          <w:tcPr/>
          <w:p>
            <w:pPr>
              <w:pStyle w:val="Compact"/>
              <w:jc w:val="left"/>
            </w:pPr>
            <w:r>
              <w:t xml:space="preserve">Site inspection and geotechnical survey of the Old City drainage corridor (approx. 1.2 km), including soil sampling and borehole analysis in</w:t>
            </w:r>
            <w:r>
              <w:t xml:space="preserve"> </w:t>
            </w:r>
            <w:r>
              <w:t xml:space="preserve">Israel Jerusalem</w:t>
            </w:r>
          </w:p>
        </w:tc>
        <w:tc>
          <w:tcPr/>
          <w:p>
            <w:pPr>
              <w:pStyle w:val="Compact"/>
              <w:jc w:val="left"/>
            </w:pPr>
            <w:r>
              <w:t xml:space="preserve">10 working days</w:t>
            </w:r>
          </w:p>
        </w:tc>
        <w:tc>
          <w:tcPr/>
          <w:p>
            <w:pPr>
              <w:pStyle w:val="Compact"/>
              <w:jc w:val="left"/>
            </w:pPr>
            <w:r>
              <w:t xml:space="preserve">Lump Sum</w:t>
            </w:r>
          </w:p>
        </w:tc>
        <w:tc>
          <w:tcPr/>
          <w:p>
            <w:pPr>
              <w:pStyle w:val="Compact"/>
              <w:jc w:val="left"/>
            </w:pPr>
            <w:r>
              <w:t xml:space="preserve">87,500</w:t>
            </w:r>
          </w:p>
        </w:tc>
      </w:tr>
      <w:tr>
        <w:tc>
          <w:tcPr/>
          <w:p>
            <w:pPr>
              <w:pStyle w:val="Compact"/>
              <w:jc w:val="left"/>
            </w:pPr>
            <w:r>
              <w:t xml:space="preserve">2</w:t>
            </w:r>
          </w:p>
        </w:tc>
        <w:tc>
          <w:tcPr/>
          <w:p>
            <w:pPr>
              <w:pStyle w:val="Compact"/>
              <w:jc w:val="left"/>
            </w:pPr>
            <w:r>
              <w:t xml:space="preserve">Structural assessment of existing masonry retaining walls and arch culverts; preparation of condition reports with photographic documentation</w:t>
            </w:r>
          </w:p>
        </w:tc>
        <w:tc>
          <w:tcPr/>
          <w:p>
            <w:pPr>
              <w:pStyle w:val="Compact"/>
              <w:jc w:val="left"/>
            </w:pPr>
            <w:r>
              <w:t xml:space="preserve">15 working days</w:t>
            </w:r>
          </w:p>
        </w:tc>
        <w:tc>
          <w:tcPr/>
          <w:p>
            <w:pPr>
              <w:pStyle w:val="Compact"/>
              <w:jc w:val="left"/>
            </w:pPr>
            <w:r>
              <w:t xml:space="preserve">Lump Sum</w:t>
            </w:r>
          </w:p>
        </w:tc>
        <w:tc>
          <w:tcPr/>
          <w:p>
            <w:pPr>
              <w:pStyle w:val="Compact"/>
              <w:jc w:val="left"/>
            </w:pPr>
            <w:r>
              <w:t xml:space="preserve">124,000</w:t>
            </w:r>
          </w:p>
        </w:tc>
      </w:tr>
      <w:tr>
        <w:tc>
          <w:tcPr/>
          <w:p>
            <w:pPr>
              <w:pStyle w:val="Compact"/>
              <w:jc w:val="left"/>
            </w:pPr>
            <w:r>
              <w:t xml:space="preserve">3</w:t>
            </w:r>
          </w:p>
        </w:tc>
        <w:tc>
          <w:tcPr/>
          <w:p>
            <w:pPr>
              <w:pStyle w:val="Compact"/>
              <w:jc w:val="left"/>
            </w:pPr>
            <w:r>
              <w:t xml:space="preserve">Design of reinforced concrete repair and underpinning solutions; hydraulic modeling of the drainage system for 100-year storm events</w:t>
            </w:r>
          </w:p>
        </w:tc>
        <w:tc>
          <w:tcPr/>
          <w:p>
            <w:pPr>
              <w:pStyle w:val="Compact"/>
              <w:jc w:val="left"/>
            </w:pPr>
            <w:r>
              <w:t xml:space="preserve">20 working days</w:t>
            </w:r>
          </w:p>
        </w:tc>
        <w:tc>
          <w:tcPr/>
          <w:p>
            <w:pPr>
              <w:pStyle w:val="Compact"/>
              <w:jc w:val="left"/>
            </w:pPr>
            <w:r>
              <w:t xml:space="preserve">Lump Sum</w:t>
            </w:r>
          </w:p>
        </w:tc>
        <w:tc>
          <w:tcPr/>
          <w:p>
            <w:pPr>
              <w:pStyle w:val="Compact"/>
              <w:jc w:val="left"/>
            </w:pPr>
            <w:r>
              <w:t xml:space="preserve">215,000</w:t>
            </w:r>
          </w:p>
        </w:tc>
      </w:tr>
      <w:tr>
        <w:tc>
          <w:tcPr/>
          <w:p>
            <w:pPr>
              <w:pStyle w:val="Compact"/>
              <w:jc w:val="left"/>
            </w:pPr>
            <w:r>
              <w:t xml:space="preserve">4</w:t>
            </w:r>
          </w:p>
        </w:tc>
        <w:tc>
          <w:tcPr/>
          <w:p>
            <w:pPr>
              <w:pStyle w:val="Compact"/>
              <w:jc w:val="left"/>
            </w:pPr>
            <w:r>
              <w:t xml:space="preserve">Preparation of full construction drawings, specifications, and bill of quantities for tender purposes, stamped and signed by a licensed</w:t>
            </w:r>
            <w:r>
              <w:t xml:space="preserve"> </w:t>
            </w:r>
            <w:r>
              <w:t xml:space="preserve">Civil Engineer</w:t>
            </w:r>
            <w:r>
              <w:t xml:space="preserve"> </w:t>
            </w:r>
            <w:r>
              <w:t xml:space="preserve">registered with the Israel Engineers Association</w:t>
            </w:r>
          </w:p>
        </w:tc>
        <w:tc>
          <w:tcPr/>
          <w:p>
            <w:pPr>
              <w:pStyle w:val="Compact"/>
              <w:jc w:val="left"/>
            </w:pPr>
            <w:r>
              <w:t xml:space="preserve">12 working days</w:t>
            </w:r>
          </w:p>
        </w:tc>
        <w:tc>
          <w:tcPr/>
          <w:p>
            <w:pPr>
              <w:pStyle w:val="Compact"/>
              <w:jc w:val="left"/>
            </w:pPr>
            <w:r>
              <w:t xml:space="preserve">Lump Sum</w:t>
            </w:r>
          </w:p>
        </w:tc>
        <w:tc>
          <w:tcPr/>
          <w:p>
            <w:pPr>
              <w:pStyle w:val="Compact"/>
              <w:jc w:val="left"/>
            </w:pPr>
            <w:r>
              <w:t xml:space="preserve">98,000</w:t>
            </w:r>
          </w:p>
        </w:tc>
      </w:tr>
      <w:tr>
        <w:tc>
          <w:tcPr/>
          <w:p>
            <w:pPr>
              <w:pStyle w:val="Compact"/>
              <w:jc w:val="left"/>
            </w:pPr>
            <w:r>
              <w:t xml:space="preserve">5</w:t>
            </w:r>
          </w:p>
        </w:tc>
        <w:tc>
          <w:tcPr/>
          <w:p>
            <w:pPr>
              <w:pStyle w:val="Compact"/>
              <w:jc w:val="left"/>
            </w:pPr>
            <w:r>
              <w:t xml:space="preserve">On-site supervision during the first phase of construction works (estimated 60 working days), including weekly progress reports and quality control inspections</w:t>
            </w:r>
          </w:p>
        </w:tc>
        <w:tc>
          <w:tcPr/>
          <w:p>
            <w:pPr>
              <w:pStyle w:val="Compact"/>
              <w:jc w:val="left"/>
            </w:pPr>
            <w:r>
              <w:t xml:space="preserve">60 working days</w:t>
            </w:r>
          </w:p>
        </w:tc>
        <w:tc>
          <w:tcPr/>
          <w:p>
            <w:pPr>
              <w:pStyle w:val="Compact"/>
              <w:jc w:val="left"/>
            </w:pPr>
            <w:r>
              <w:t xml:space="preserve">Per Day</w:t>
            </w:r>
          </w:p>
        </w:tc>
        <w:tc>
          <w:tcPr/>
          <w:p>
            <w:pPr>
              <w:pStyle w:val="Compact"/>
              <w:jc w:val="left"/>
            </w:pPr>
            <w:r>
              <w:t xml:space="preserve">3,200 / day</w:t>
            </w:r>
          </w:p>
        </w:tc>
      </w:tr>
      <w:tr>
        <w:tc>
          <w:tcPr/>
          <w:p>
            <w:pPr>
              <w:pStyle w:val="Compact"/>
              <w:jc w:val="left"/>
            </w:pPr>
            <w:r>
              <w:t xml:space="preserve">6</w:t>
            </w:r>
          </w:p>
        </w:tc>
        <w:tc>
          <w:tcPr/>
          <w:p>
            <w:pPr>
              <w:pStyle w:val="Compact"/>
              <w:jc w:val="left"/>
            </w:pPr>
            <w:r>
              <w:t xml:space="preserve">Coordination meetings with the Israel Antiquities Authority, Jerusalem Development Authority, and municipal planning committee (up to 8 sessions)</w:t>
            </w:r>
          </w:p>
        </w:tc>
        <w:tc>
          <w:tcPr/>
          <w:p>
            <w:pPr>
              <w:pStyle w:val="Compact"/>
              <w:jc w:val="left"/>
            </w:pPr>
            <w:r>
              <w:t xml:space="preserve">As required</w:t>
            </w:r>
          </w:p>
        </w:tc>
        <w:tc>
          <w:tcPr/>
          <w:p>
            <w:pPr>
              <w:pStyle w:val="Compact"/>
              <w:jc w:val="left"/>
            </w:pPr>
            <w:r>
              <w:t xml:space="preserve">Per Session</w:t>
            </w:r>
          </w:p>
        </w:tc>
        <w:tc>
          <w:tcPr/>
          <w:p>
            <w:pPr>
              <w:pStyle w:val="Compact"/>
              <w:jc w:val="left"/>
            </w:pPr>
            <w:r>
              <w:t xml:space="preserve">4,500 / session</w:t>
            </w:r>
          </w:p>
        </w:tc>
      </w:tr>
      <w:tr>
        <w:tc>
          <w:tcPr/>
          <w:p>
            <w:pPr>
              <w:pStyle w:val="Compact"/>
              <w:jc w:val="left"/>
            </w:pPr>
            <w:r>
              <w:t xml:space="preserve">7</w:t>
            </w:r>
          </w:p>
        </w:tc>
        <w:tc>
          <w:tcPr/>
          <w:p>
            <w:pPr>
              <w:pStyle w:val="Compact"/>
              <w:jc w:val="left"/>
            </w:pPr>
            <w:r>
              <w:t xml:space="preserve">Final as-built documentation, punch-list resolution, and handover report to the Municipality of Jerusalem</w:t>
            </w:r>
          </w:p>
        </w:tc>
        <w:tc>
          <w:tcPr/>
          <w:p>
            <w:pPr>
              <w:pStyle w:val="Compact"/>
              <w:jc w:val="left"/>
            </w:pPr>
            <w:r>
              <w:t xml:space="preserve">5 working days</w:t>
            </w:r>
          </w:p>
        </w:tc>
        <w:tc>
          <w:tcPr/>
          <w:p>
            <w:pPr>
              <w:pStyle w:val="Compact"/>
              <w:jc w:val="left"/>
            </w:pPr>
            <w:r>
              <w:t xml:space="preserve">Lump Sum</w:t>
            </w:r>
          </w:p>
        </w:tc>
        <w:tc>
          <w:tcPr/>
          <w:p>
            <w:pPr>
              <w:pStyle w:val="Compact"/>
              <w:jc w:val="left"/>
            </w:pPr>
            <w:r>
              <w:t xml:space="preserve">32,000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(ILS)</w:t>
            </w:r>
          </w:p>
        </w:tc>
      </w:tr>
      <w:tr>
        <w:tc>
          <w:tcPr/>
          <w:p>
            <w:pPr>
              <w:pStyle w:val="Compact"/>
              <w:jc w:val="left"/>
            </w:pPr>
            <w:r>
              <w:t xml:space="preserve">Items 1 – 4 (Design &amp; Assessment Phase)</w:t>
            </w:r>
          </w:p>
        </w:tc>
        <w:tc>
          <w:tcPr/>
          <w:p>
            <w:pPr>
              <w:pStyle w:val="Compact"/>
              <w:jc w:val="left"/>
            </w:pPr>
            <w:r>
              <w:t xml:space="preserve">524,500</w:t>
            </w:r>
          </w:p>
        </w:tc>
      </w:tr>
      <w:tr>
        <w:tc>
          <w:tcPr/>
          <w:p>
            <w:pPr>
              <w:pStyle w:val="Compact"/>
              <w:jc w:val="left"/>
            </w:pPr>
            <w:r>
              <w:t xml:space="preserve">Item 5 (Site Supervision: 60 days × 3,200)</w:t>
            </w:r>
          </w:p>
        </w:tc>
        <w:tc>
          <w:tcPr/>
          <w:p>
            <w:pPr>
              <w:pStyle w:val="Compact"/>
              <w:jc w:val="left"/>
            </w:pPr>
            <w:r>
              <w:t xml:space="preserve">192,000</w:t>
            </w:r>
          </w:p>
        </w:tc>
      </w:tr>
      <w:tr>
        <w:tc>
          <w:tcPr/>
          <w:p>
            <w:pPr>
              <w:pStyle w:val="Compact"/>
              <w:jc w:val="left"/>
            </w:pPr>
            <w:r>
              <w:t xml:space="preserve">Item 6 (Coordination Meetings: 8 sessions × 4,500)</w:t>
            </w:r>
          </w:p>
        </w:tc>
        <w:tc>
          <w:tcPr/>
          <w:p>
            <w:pPr>
              <w:pStyle w:val="Compact"/>
              <w:jc w:val="left"/>
            </w:pPr>
            <w:r>
              <w:t xml:space="preserve">36,000</w:t>
            </w:r>
          </w:p>
        </w:tc>
      </w:tr>
      <w:tr>
        <w:tc>
          <w:tcPr/>
          <w:p>
            <w:pPr>
              <w:pStyle w:val="Compact"/>
              <w:jc w:val="left"/>
            </w:pPr>
            <w:r>
              <w:t xml:space="preserve">Item 7 (Final Documentation)</w:t>
            </w:r>
          </w:p>
        </w:tc>
        <w:tc>
          <w:tcPr/>
          <w:p>
            <w:pPr>
              <w:pStyle w:val="Compact"/>
              <w:jc w:val="left"/>
            </w:pPr>
            <w:r>
              <w:t xml:space="preserve">32,000</w:t>
            </w:r>
          </w:p>
        </w:tc>
      </w:tr>
      <w:tr>
        <w:tc>
          <w:tcPr/>
          <w:p>
            <w:pPr>
              <w:pStyle w:val="Compact"/>
              <w:jc w:val="left"/>
            </w:pPr>
            <w:r>
              <w:t xml:space="preserve">Subtotal</w:t>
            </w:r>
          </w:p>
        </w:tc>
        <w:tc>
          <w:tcPr/>
          <w:p>
            <w:pPr>
              <w:pStyle w:val="Compact"/>
              <w:jc w:val="left"/>
            </w:pPr>
            <w:r>
              <w:t xml:space="preserve">784,500</w:t>
            </w:r>
          </w:p>
        </w:tc>
      </w:tr>
      <w:tr>
        <w:tc>
          <w:tcPr/>
          <w:p>
            <w:pPr>
              <w:pStyle w:val="Compact"/>
              <w:jc w:val="left"/>
            </w:pPr>
            <w:r>
              <w:t xml:space="preserve">VAT (18%)</w:t>
            </w:r>
          </w:p>
        </w:tc>
        <w:tc>
          <w:tcPr/>
          <w:p>
            <w:pPr>
              <w:pStyle w:val="Compact"/>
              <w:jc w:val="left"/>
            </w:pPr>
            <w:r>
              <w:t xml:space="preserve">141,210</w:t>
            </w:r>
          </w:p>
        </w:tc>
      </w:tr>
      <w:tr>
        <w:tc>
          <w:tcPr/>
          <w:p>
            <w:pPr>
              <w:pStyle w:val="Compact"/>
              <w:jc w:val="left"/>
            </w:pPr>
            <w:r>
              <w:t xml:space="preserve">Total Quotation Estimate (Incl. VAT)</w:t>
            </w:r>
          </w:p>
        </w:tc>
        <w:tc>
          <w:tcPr/>
          <w:p>
            <w:pPr>
              <w:pStyle w:val="Compact"/>
              <w:jc w:val="left"/>
            </w:pPr>
            <w:r>
              <w:t xml:space="preserve">925,710 ILS</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conditions are subject to revision based on prevailing market conditions in</w:t>
      </w:r>
      <w:r>
        <w:t xml:space="preserve"> </w:t>
      </w:r>
      <w:r>
        <w:t xml:space="preserve">Israel Jerusalem</w:t>
      </w:r>
      <w:r>
        <w:t xml:space="preserve">.</w:t>
      </w:r>
    </w:p>
    <w:p>
      <w:pPr>
        <w:numPr>
          <w:ilvl w:val="0"/>
          <w:numId w:val="1001"/>
        </w:numPr>
        <w:pStyle w:val="Compact"/>
      </w:pPr>
      <w:r>
        <w:t xml:space="preserve">Payment terms: 30% advance upon contract signing, 40% upon completion of the design and assessment phase (Items 1–4), 20% upon completion of site supervision, and 10% upon final handover. All payments are due within thirty (30) days of invoice date.</w:t>
      </w:r>
    </w:p>
    <w:p>
      <w:pPr>
        <w:numPr>
          <w:ilvl w:val="0"/>
          <w:numId w:val="1001"/>
        </w:numPr>
        <w:pStyle w:val="Compact"/>
      </w:pPr>
      <w:r>
        <w:t xml:space="preserve">The</w:t>
      </w:r>
      <w:r>
        <w:t xml:space="preserve"> </w:t>
      </w:r>
      <w:r>
        <w:t xml:space="preserve">Civil Engineer</w:t>
      </w:r>
      <w:r>
        <w:t xml:space="preserve"> </w:t>
      </w:r>
      <w:r>
        <w:t xml:space="preserve">of record shall be Mr. Yossi Katz, P.E. (License No. IL-CE-2004-11207), who shall maintain professional liability insurance with a minimum coverage of 5,000,000 ILS throughout the duration of the project.</w:t>
      </w:r>
    </w:p>
    <w:p>
      <w:pPr>
        <w:numPr>
          <w:ilvl w:val="0"/>
          <w:numId w:val="1001"/>
        </w:numPr>
        <w:pStyle w:val="Compact"/>
      </w:pPr>
      <w:r>
        <w:t xml:space="preserve">All work shall comply with the Israeli Building Code, the Jerusalem Municipal Ordinance on Heritage Structures, and the environmental regulations of the Israel Nature and Parks Authority.</w:t>
      </w:r>
    </w:p>
    <w:p>
      <w:pPr>
        <w:numPr>
          <w:ilvl w:val="0"/>
          <w:numId w:val="1001"/>
        </w:numPr>
        <w:pStyle w:val="Compact"/>
      </w:pPr>
      <w:r>
        <w:t xml:space="preserve">Any change in scope exceeding 10% of the original</w:t>
      </w:r>
      <w:r>
        <w:t xml:space="preserve"> </w:t>
      </w:r>
      <w:r>
        <w:t xml:space="preserve">Quotation Estimate</w:t>
      </w:r>
      <w:r>
        <w:t xml:space="preserve"> </w:t>
      </w:r>
      <w:r>
        <w:t xml:space="preserve">value shall require a written change order signed by both parties before additional work commences.</w:t>
      </w:r>
    </w:p>
    <w:p>
      <w:pPr>
        <w:numPr>
          <w:ilvl w:val="0"/>
          <w:numId w:val="1001"/>
        </w:numPr>
        <w:pStyle w:val="Compact"/>
      </w:pPr>
      <w:r>
        <w:t xml:space="preserve">Disputes arising from this engagement shall be resolved through arbitration in Jerusalem, Israel, in accordance with the provisions of the Israeli Arbitration Law, 5728-1968.</w:t>
      </w:r>
    </w:p>
    <w:p>
      <w:pPr>
        <w:numPr>
          <w:ilvl w:val="0"/>
          <w:numId w:val="1001"/>
        </w:numPr>
        <w:pStyle w:val="Compact"/>
      </w:pPr>
      <w:r>
        <w:t xml:space="preserve">The</w:t>
      </w:r>
      <w:r>
        <w:t xml:space="preserve"> </w:t>
      </w:r>
      <w:r>
        <w:t xml:space="preserve">Civil Engineer</w:t>
      </w:r>
      <w:r>
        <w:t xml:space="preserve"> </w:t>
      </w:r>
      <w:r>
        <w:t xml:space="preserve">team shall observe all safety protocols as mandated by the Israel Occupational Safety, Health and Environment Service (Migdal) during all on-site activities in</w:t>
      </w:r>
      <w:r>
        <w:t xml:space="preserve"> </w:t>
      </w:r>
      <w:r>
        <w:t xml:space="preserve">Israel Jerusalem</w:t>
      </w:r>
      <w:r>
        <w:t xml:space="preserve">.</w:t>
      </w:r>
    </w:p>
    <w:p>
      <w:pPr>
        <w:pStyle w:val="FirstParagraph"/>
      </w:pPr>
      <w:r>
        <w:rPr>
          <w:bCs/>
          <w:b/>
        </w:rPr>
        <w:t xml:space="preserve">Validity Notice:</w:t>
      </w:r>
      <w:r>
        <w:t xml:space="preserve"> </w:t>
      </w:r>
      <w:r>
        <w:t xml:space="preserve">This Quotation Estimate is prepared specifically for the Municipality of Jerusalem — Infrastructure Division and may not be transferred, reproduced, or relied upon by any third party without the prior written consent of Levant Civil Engineering Ltd. All figures are quoted in New Israeli Shekels (ILS) and are inclusive of all professional fees, travel within the Jerusalem metropolitan area, and standard engineering software licensing.</w:t>
      </w:r>
    </w:p>
    <w:bookmarkEnd w:id="24"/>
    <w:bookmarkStart w:id="25" w:name="acceptance-and-authorization"/>
    <w:p>
      <w:pPr>
        <w:pStyle w:val="Heading2"/>
      </w:pPr>
      <w:r>
        <w:t xml:space="preserve">5. Acceptance and Authorization</w:t>
      </w:r>
    </w:p>
    <w:p>
      <w:pPr>
        <w:pStyle w:val="FirstParagraph"/>
      </w:pPr>
      <w:r>
        <w:rPr>
          <w:bCs/>
          <w:b/>
        </w:rPr>
        <w:t xml:space="preserve">For Levant Civil Engineering Ltd.</w:t>
      </w:r>
    </w:p>
    <w:p>
      <w:pPr>
        <w:pStyle w:val="BodyText"/>
      </w:pPr>
      <w:r>
        <w:t xml:space="preserve">Mr. Yossi Katz, P.E. — Lead Civil Engineer</w:t>
      </w:r>
    </w:p>
    <w:p>
      <w:pPr>
        <w:pStyle w:val="BodyText"/>
      </w:pPr>
      <w:r>
        <w:t xml:space="preserve">Date: _______________</w:t>
      </w:r>
    </w:p>
    <w:p>
      <w:pPr>
        <w:pStyle w:val="BodyText"/>
      </w:pPr>
      <w:r>
        <w:rPr>
          <w:bCs/>
          <w:b/>
        </w:rPr>
        <w:t xml:space="preserve">For the Municipality of Jerusalem</w:t>
      </w:r>
    </w:p>
    <w:p>
      <w:pPr>
        <w:pStyle w:val="BodyText"/>
      </w:pPr>
      <w:r>
        <w:t xml:space="preserve">Mr. David Ben-Ami — Project Director</w:t>
      </w:r>
    </w:p>
    <w:p>
      <w:pPr>
        <w:pStyle w:val="BodyText"/>
      </w:pPr>
      <w:r>
        <w:t xml:space="preserve">Date: _______________</w:t>
      </w:r>
    </w:p>
    <w:p>
      <w:pPr>
        <w:pStyle w:val="BodyText"/>
      </w:pPr>
      <w:r>
        <w:t xml:space="preserve">Levant Civil Engineering Ltd. | 42 King George Street, Jerusalem 91000, Israel | VAT No.: 51-234-567-8</w:t>
      </w:r>
    </w:p>
    <w:p>
      <w:pPr>
        <w:pStyle w:val="BodyText"/>
      </w:pPr>
      <w:r>
        <w:t xml:space="preserve">This Quotation Estimate document was generated on 15 June 2025. For inquiries regarding this Civil Engineer service proposal in Israel Jerusalem, please contact estimates@levantcivil.co.il.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Israel Jerusalem</dc:title>
  <dc:creator/>
  <dc:language>en</dc:language>
  <cp:keywords/>
  <dcterms:created xsi:type="dcterms:W3CDTF">2026-10-10T01:16:28Z</dcterms:created>
  <dcterms:modified xsi:type="dcterms:W3CDTF">2026-10-10T01:16:28Z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