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Civil Engineer Services — Israel Tel Aviv</w:t>
      </w:r>
    </w:p>
    <w:p>
      <w:pPr>
        <w:pStyle w:val="BodyText"/>
      </w:pPr>
      <w:r>
        <w:t xml:space="preserve">Document Reference: QE-2025-TLV-0472 | Issued: June 15,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Eng. David Levi, P.E. — Licensed Civil Engineer, Israel Engineering Association (IEA) License No. 48291</w:t>
            </w:r>
          </w:p>
        </w:tc>
      </w:tr>
      <w:tr>
        <w:tc>
          <w:tcPr/>
          <w:p>
            <w:pPr>
              <w:pStyle w:val="Compact"/>
              <w:jc w:val="left"/>
            </w:pPr>
            <w:r>
              <w:t xml:space="preserve">Firm</w:t>
            </w:r>
          </w:p>
        </w:tc>
        <w:tc>
          <w:tcPr/>
          <w:p>
            <w:pPr>
              <w:pStyle w:val="Compact"/>
              <w:jc w:val="left"/>
            </w:pPr>
            <w:r>
              <w:t xml:space="preserve">Levi &amp; Associates Civil Engineering Ltd., 42 Rothschild Boulevard, Tel Aviv-Yafo, Israel 63902</w:t>
            </w:r>
          </w:p>
        </w:tc>
      </w:tr>
      <w:tr>
        <w:tc>
          <w:tcPr/>
          <w:p>
            <w:pPr>
              <w:pStyle w:val="Compact"/>
              <w:jc w:val="left"/>
            </w:pPr>
            <w:r>
              <w:t xml:space="preserve">Prepared For</w:t>
            </w:r>
          </w:p>
        </w:tc>
        <w:tc>
          <w:tcPr/>
          <w:p>
            <w:pPr>
              <w:pStyle w:val="Compact"/>
              <w:jc w:val="left"/>
            </w:pPr>
            <w:r>
              <w:t xml:space="preserve">Mr. Yossi Ben-David, Project Director, Horizon Development Group, 18 Dizengoff Street, Tel Aviv, Israel</w:t>
            </w:r>
          </w:p>
        </w:tc>
      </w:tr>
      <w:tr>
        <w:tc>
          <w:tcPr/>
          <w:p>
            <w:pPr>
              <w:pStyle w:val="Compact"/>
              <w:jc w:val="left"/>
            </w:pPr>
            <w:r>
              <w:t xml:space="preserve">Project Location</w:t>
            </w:r>
          </w:p>
        </w:tc>
        <w:tc>
          <w:tcPr/>
          <w:p>
            <w:pPr>
              <w:pStyle w:val="Compact"/>
              <w:jc w:val="left"/>
            </w:pPr>
            <w:r>
              <w:t xml:space="preserve">Neve Tzedek District, Tel Aviv-Yafo, Israel</w:t>
            </w:r>
          </w:p>
        </w:tc>
      </w:tr>
      <w:tr>
        <w:tc>
          <w:tcPr/>
          <w:p>
            <w:pPr>
              <w:pStyle w:val="Compact"/>
              <w:jc w:val="left"/>
            </w:pPr>
            <w:r>
              <w:t xml:space="preserve">Project Title</w:t>
            </w:r>
          </w:p>
        </w:tc>
        <w:tc>
          <w:tcPr/>
          <w:p>
            <w:pPr>
              <w:pStyle w:val="Compact"/>
              <w:jc w:val="left"/>
            </w:pPr>
            <w:r>
              <w:t xml:space="preserve">Residential Mixed-Use Building — Structural Design, Site Assessment, and Construction Supervision</w:t>
            </w:r>
          </w:p>
        </w:tc>
      </w:tr>
      <w:tr>
        <w:tc>
          <w:tcPr/>
          <w:p>
            <w:pPr>
              <w:pStyle w:val="Compact"/>
              <w:jc w:val="left"/>
            </w:pPr>
            <w:r>
              <w:t xml:space="preserve">Quotation Validity</w:t>
            </w:r>
          </w:p>
        </w:tc>
        <w:tc>
          <w:tcPr/>
          <w:p>
            <w:pPr>
              <w:pStyle w:val="Compact"/>
              <w:jc w:val="left"/>
            </w:pPr>
            <w:r>
              <w:t xml:space="preserve">60 calendar days from the date of issue (expires August 14, 2025)</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Levi &amp; Associates Civil Engineering Ltd. in response to the formal request for professional services submitted by Horizon Development Group. The scope of work outlined herein pertains to the full spectrum of Civil Engineer responsibilities required for the design, assessment, and oversight of a six-story residential mixed-use building located in the Neve Tzedek District of Tel Aviv, Israel. This Quotation Estimate provides a transparent, itemized breakdown of all anticipated fees, deliverables, and professional obligations associated with the engagement of our Civil Engineer team for the duration of the project.</w:t>
      </w:r>
    </w:p>
    <w:p>
      <w:pPr>
        <w:pStyle w:val="BodyText"/>
      </w:pPr>
      <w:r>
        <w:t xml:space="preserve">All services described in this Quotation Estimate shall be performed in strict compliance with the Israeli Building Code (SNI 5400 series), the Tel Aviv-Yafo Municipality planning and building regulations, and the standards set forth by the Israel Engineering Association. The Civil Engineer and supporting staff assigned to this project hold valid Israeli professional licenses and possess a minimum of fifteen years of experience in structural design and construction supervision within the Tel Aviv metropolitan area.</w:t>
      </w:r>
    </w:p>
    <w:bookmarkEnd w:id="21"/>
    <w:bookmarkStart w:id="22" w:name="scope-of-civil-engineer-services"/>
    <w:p>
      <w:pPr>
        <w:pStyle w:val="Heading2"/>
      </w:pPr>
      <w:r>
        <w:t xml:space="preserve">2. Scope of Civil Engineer Services</w:t>
      </w:r>
    </w:p>
    <w:p>
      <w:pPr>
        <w:pStyle w:val="FirstParagraph"/>
      </w:pPr>
      <w:r>
        <w:t xml:space="preserve">The following Civil Engineer services are included in this Quotation Estimate:</w:t>
      </w:r>
    </w:p>
    <w:p>
      <w:pPr>
        <w:numPr>
          <w:ilvl w:val="0"/>
          <w:numId w:val="1001"/>
        </w:numPr>
        <w:pStyle w:val="Compact"/>
      </w:pPr>
      <w:r>
        <w:rPr>
          <w:bCs/>
          <w:b/>
        </w:rPr>
        <w:t xml:space="preserve">Geotechnical and Site Assessment:</w:t>
      </w:r>
      <w:r>
        <w:t xml:space="preserve"> </w:t>
      </w:r>
      <w:r>
        <w:t xml:space="preserve">Comprehensive soil investigation, bearing capacity analysis, and seismic risk evaluation of the Tel Aviv site in accordance with Israeli seismic design standards (SNI 5410). This includes coordination with the Tel Aviv-Yafo Municipality geotechnical office.</w:t>
      </w:r>
    </w:p>
    <w:p>
      <w:pPr>
        <w:numPr>
          <w:ilvl w:val="0"/>
          <w:numId w:val="1001"/>
        </w:numPr>
        <w:pStyle w:val="Compact"/>
      </w:pPr>
      <w:r>
        <w:rPr>
          <w:bCs/>
          <w:b/>
        </w:rPr>
        <w:t xml:space="preserve">Structural Design and Engineering:</w:t>
      </w:r>
      <w:r>
        <w:t xml:space="preserve"> </w:t>
      </w:r>
      <w:r>
        <w:t xml:space="preserve">Complete structural design of the building's foundation system, load-bearing walls, columns, beams, slabs, and roof structure. All design calculations shall be performed by a licensed Civil Engineer and reviewed by a second independent Civil Engineer as required by Israeli law.</w:t>
      </w:r>
    </w:p>
    <w:p>
      <w:pPr>
        <w:numPr>
          <w:ilvl w:val="0"/>
          <w:numId w:val="1001"/>
        </w:numPr>
        <w:pStyle w:val="Compact"/>
      </w:pPr>
      <w:r>
        <w:rPr>
          <w:bCs/>
          <w:b/>
        </w:rPr>
        <w:t xml:space="preserve">Architectural Coordination and Permitting:</w:t>
      </w:r>
      <w:r>
        <w:t xml:space="preserve"> </w:t>
      </w:r>
      <w:r>
        <w:t xml:space="preserve">Preparation and submission of all structural drawings and calculations to the Tel Aviv-Yafo Planning and Building Authority for permit approval. The Civil Engineer shall attend all municipal review meetings and respond to authority comments within the stipulated timelines.</w:t>
      </w:r>
    </w:p>
    <w:p>
      <w:pPr>
        <w:numPr>
          <w:ilvl w:val="0"/>
          <w:numId w:val="1001"/>
        </w:numPr>
        <w:pStyle w:val="Compact"/>
      </w:pPr>
      <w:r>
        <w:rPr>
          <w:bCs/>
          <w:b/>
        </w:rPr>
        <w:t xml:space="preserve">Construction Phase Supervision:</w:t>
      </w:r>
      <w:r>
        <w:t xml:space="preserve"> </w:t>
      </w:r>
      <w:r>
        <w:t xml:space="preserve">On-site supervision by the Civil Engineer or a designated senior structural engineer for a minimum of three days per week throughout the construction period. This includes concrete pour inspections, rebar placement verification, and quality control testing coordination.</w:t>
      </w:r>
    </w:p>
    <w:p>
      <w:pPr>
        <w:numPr>
          <w:ilvl w:val="0"/>
          <w:numId w:val="1001"/>
        </w:numPr>
        <w:pStyle w:val="Compact"/>
      </w:pPr>
      <w:r>
        <w:rPr>
          <w:bCs/>
          <w:b/>
        </w:rPr>
        <w:t xml:space="preserve">As-Built Documentation and Final Certification:</w:t>
      </w:r>
      <w:r>
        <w:t xml:space="preserve"> </w:t>
      </w:r>
      <w:r>
        <w:t xml:space="preserve">Preparation of as-built structural drawings, issuance of the final structural completion certificate, and submission of all documentation to the Tel Aviv-Yafo Municipality for the issuance of the building completion permit (Tova).</w:t>
      </w:r>
    </w:p>
    <w:p>
      <w:pPr>
        <w:numPr>
          <w:ilvl w:val="0"/>
          <w:numId w:val="1001"/>
        </w:numPr>
        <w:pStyle w:val="Compact"/>
      </w:pPr>
      <w:r>
        <w:rPr>
          <w:bCs/>
          <w:b/>
        </w:rPr>
        <w:t xml:space="preserve">Post-Construction Support:</w:t>
      </w:r>
      <w:r>
        <w:t xml:space="preserve"> </w:t>
      </w:r>
      <w:r>
        <w:t xml:space="preserve">A twelve-month warranty period during which the Civil Engineer shall respond to any structural concerns or defects reported by the client at no additional cost.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Geotechnical Site Assessment &amp; Seismic Analysis</w:t>
            </w:r>
          </w:p>
        </w:tc>
        <w:tc>
          <w:tcPr/>
          <w:p>
            <w:pPr>
              <w:pStyle w:val="Compact"/>
              <w:jc w:val="left"/>
            </w:pPr>
            <w:r>
              <w:t xml:space="preserve">1 package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Structural Design &amp; Engineering Calculations (6 stories, approx. 2,400 m²)</w:t>
            </w:r>
          </w:p>
        </w:tc>
        <w:tc>
          <w:tcPr/>
          <w:p>
            <w:pPr>
              <w:pStyle w:val="Compact"/>
              <w:jc w:val="left"/>
            </w:pPr>
            <w:r>
              <w:t xml:space="preserve">1 package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Independent Structural Review (Second Civil Engineer)</w:t>
            </w:r>
          </w:p>
        </w:tc>
        <w:tc>
          <w:tcPr/>
          <w:p>
            <w:pPr>
              <w:pStyle w:val="Compact"/>
              <w:jc w:val="left"/>
            </w:pPr>
            <w:r>
              <w:t xml:space="preserve">1 package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Municipal Permitting &amp; Authority Coordination (Tel Aviv-Yafo)</w:t>
            </w:r>
          </w:p>
        </w:tc>
        <w:tc>
          <w:tcPr/>
          <w:p>
            <w:pPr>
              <w:pStyle w:val="Compact"/>
              <w:jc w:val="left"/>
            </w:pPr>
            <w:r>
              <w:t xml:space="preserve">1 package</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5</w:t>
            </w:r>
          </w:p>
        </w:tc>
        <w:tc>
          <w:tcPr/>
          <w:p>
            <w:pPr>
              <w:pStyle w:val="Compact"/>
              <w:jc w:val="left"/>
            </w:pPr>
            <w:r>
              <w:t xml:space="preserve">Construction Phase On-Site Supervision</w:t>
            </w:r>
          </w:p>
        </w:tc>
        <w:tc>
          <w:tcPr/>
          <w:p>
            <w:pPr>
              <w:pStyle w:val="Compact"/>
              <w:jc w:val="left"/>
            </w:pPr>
            <w:r>
              <w:t xml:space="preserve">14 months</w:t>
            </w:r>
          </w:p>
        </w:tc>
        <w:tc>
          <w:tcPr/>
          <w:p>
            <w:pPr>
              <w:pStyle w:val="Compact"/>
              <w:jc w:val="left"/>
            </w:pPr>
            <w:r>
              <w:t xml:space="preserve">18,500 / month</w:t>
            </w:r>
          </w:p>
        </w:tc>
        <w:tc>
          <w:tcPr/>
          <w:p>
            <w:pPr>
              <w:pStyle w:val="Compact"/>
              <w:jc w:val="left"/>
            </w:pPr>
            <w:r>
              <w:t xml:space="preserve">259,000</w:t>
            </w:r>
          </w:p>
        </w:tc>
      </w:tr>
      <w:tr>
        <w:tc>
          <w:tcPr/>
          <w:p>
            <w:pPr>
              <w:pStyle w:val="Compact"/>
              <w:jc w:val="left"/>
            </w:pPr>
            <w:r>
              <w:t xml:space="preserve">6</w:t>
            </w:r>
          </w:p>
        </w:tc>
        <w:tc>
          <w:tcPr/>
          <w:p>
            <w:pPr>
              <w:pStyle w:val="Compact"/>
              <w:jc w:val="left"/>
            </w:pPr>
            <w:r>
              <w:t xml:space="preserve">Quality Control Testing Coordination (concrete, soil, rebar)</w:t>
            </w:r>
          </w:p>
        </w:tc>
        <w:tc>
          <w:tcPr/>
          <w:p>
            <w:pPr>
              <w:pStyle w:val="Compact"/>
              <w:jc w:val="left"/>
            </w:pPr>
            <w:r>
              <w:t xml:space="preserve">1 package</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As-Built Documentation &amp; Final Tova Certification</w:t>
            </w:r>
          </w:p>
        </w:tc>
        <w:tc>
          <w:tcPr/>
          <w:p>
            <w:pPr>
              <w:pStyle w:val="Compact"/>
              <w:jc w:val="left"/>
            </w:pPr>
            <w:r>
              <w:t xml:space="preserve">1 package</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8</w:t>
            </w:r>
          </w:p>
        </w:tc>
        <w:tc>
          <w:tcPr/>
          <w:p>
            <w:pPr>
              <w:pStyle w:val="Compact"/>
              <w:jc w:val="left"/>
            </w:pPr>
            <w:r>
              <w:t xml:space="preserve">Post-Construction Warranty Support (12 months)</w:t>
            </w:r>
          </w:p>
        </w:tc>
        <w:tc>
          <w:tcPr/>
          <w:p>
            <w:pPr>
              <w:pStyle w:val="Compact"/>
              <w:jc w:val="left"/>
            </w:pPr>
            <w:r>
              <w:t xml:space="preserve">12 months</w:t>
            </w:r>
          </w:p>
        </w:tc>
        <w:tc>
          <w:tcPr/>
          <w:p>
            <w:pPr>
              <w:pStyle w:val="Compact"/>
              <w:jc w:val="left"/>
            </w:pPr>
            <w:r>
              <w:t xml:space="preserve">Included</w:t>
            </w:r>
          </w:p>
        </w:tc>
        <w:tc>
          <w:tcPr/>
          <w:p>
            <w:pPr>
              <w:pStyle w:val="Compact"/>
              <w:jc w:val="left"/>
            </w:pPr>
            <w:r>
              <w:t xml:space="preserve">0</w:t>
            </w:r>
          </w:p>
        </w:tc>
      </w:tr>
      <w:tr>
        <w:tc>
          <w:tcPr>
            <w:gridSpan w:val="4"/>
          </w:tcPr>
          <w:p>
            <w:pPr>
              <w:pStyle w:val="Compact"/>
              <w:jc w:val="right"/>
            </w:pPr>
            <w:r>
              <w:t xml:space="preserve">Subtotal (excl. VAT)</w:t>
            </w:r>
          </w:p>
        </w:tc>
        <w:tc>
          <w:tcPr/>
          <w:p>
            <w:pPr>
              <w:pStyle w:val="Compact"/>
              <w:jc w:val="left"/>
            </w:pPr>
            <w:r>
              <w:t xml:space="preserve">793,000</w:t>
            </w:r>
          </w:p>
        </w:tc>
      </w:tr>
      <w:tr>
        <w:tc>
          <w:tcPr>
            <w:gridSpan w:val="4"/>
          </w:tcPr>
          <w:p>
            <w:pPr>
              <w:pStyle w:val="Compact"/>
              <w:jc w:val="right"/>
            </w:pPr>
            <w:r>
              <w:t xml:space="preserve">VAT (18%)</w:t>
            </w:r>
          </w:p>
        </w:tc>
        <w:tc>
          <w:tcPr/>
          <w:p>
            <w:pPr>
              <w:pStyle w:val="Compact"/>
              <w:jc w:val="left"/>
            </w:pPr>
            <w:r>
              <w:t xml:space="preserve">142,740</w:t>
            </w:r>
          </w:p>
        </w:tc>
      </w:tr>
      <w:tr>
        <w:tc>
          <w:tcPr>
            <w:gridSpan w:val="4"/>
          </w:tcPr>
          <w:p>
            <w:pPr>
              <w:pStyle w:val="Compact"/>
              <w:jc w:val="right"/>
            </w:pPr>
            <w:r>
              <w:t xml:space="preserve">TOTAL ESTIMATED COST (incl. VAT)</w:t>
            </w:r>
          </w:p>
        </w:tc>
        <w:tc>
          <w:tcPr/>
          <w:p>
            <w:pPr>
              <w:pStyle w:val="Compact"/>
              <w:jc w:val="left"/>
            </w:pPr>
            <w:r>
              <w:t xml:space="preserve">935,740</w:t>
            </w:r>
          </w:p>
        </w:tc>
      </w:tr>
    </w:tbl>
    <w:bookmarkEnd w:id="23"/>
    <w:bookmarkStart w:id="24" w:name="payment-schedule"/>
    <w:p>
      <w:pPr>
        <w:pStyle w:val="Heading2"/>
      </w:pPr>
      <w:r>
        <w:t xml:space="preserve">4. Payment Schedule</w:t>
      </w:r>
    </w:p>
    <w:p>
      <w:pPr>
        <w:pStyle w:val="FirstParagraph"/>
      </w:pPr>
      <w:r>
        <w:t xml:space="preserve">This Quotation Estimate assumes the following payment milestones, all payable within 30 days of invoice issuance:</w:t>
      </w:r>
    </w:p>
    <w:p>
      <w:pPr>
        <w:numPr>
          <w:ilvl w:val="0"/>
          <w:numId w:val="1002"/>
        </w:numPr>
        <w:pStyle w:val="Compact"/>
      </w:pPr>
      <w:r>
        <w:rPr>
          <w:bCs/>
          <w:b/>
        </w:rPr>
        <w:t xml:space="preserve">20% (ILS 187,148):</w:t>
      </w:r>
      <w:r>
        <w:t xml:space="preserve"> </w:t>
      </w:r>
      <w:r>
        <w:t xml:space="preserve">Upon execution of the professional services agreement and commencement of the geotechnical assessment.</w:t>
      </w:r>
    </w:p>
    <w:p>
      <w:pPr>
        <w:numPr>
          <w:ilvl w:val="0"/>
          <w:numId w:val="1002"/>
        </w:numPr>
        <w:pStyle w:val="Compact"/>
      </w:pPr>
      <w:r>
        <w:rPr>
          <w:bCs/>
          <w:b/>
        </w:rPr>
        <w:t xml:space="preserve">30% (ILS 280,722):</w:t>
      </w:r>
      <w:r>
        <w:t xml:space="preserve"> </w:t>
      </w:r>
      <w:r>
        <w:t xml:space="preserve">Upon submission of the complete structural design package to the Tel Aviv-Yafo Planning and Building Authority.</w:t>
      </w:r>
    </w:p>
    <w:p>
      <w:pPr>
        <w:numPr>
          <w:ilvl w:val="0"/>
          <w:numId w:val="1002"/>
        </w:numPr>
        <w:pStyle w:val="Compact"/>
      </w:pPr>
      <w:r>
        <w:rPr>
          <w:bCs/>
          <w:b/>
        </w:rPr>
        <w:t xml:space="preserve">35% (ILS 327,509):</w:t>
      </w:r>
      <w:r>
        <w:t xml:space="preserve"> </w:t>
      </w:r>
      <w:r>
        <w:t xml:space="preserve">Paid in equal monthly installments during the construction supervision phase (approximately ILS 23,393 per month over 14 months).</w:t>
      </w:r>
    </w:p>
    <w:p>
      <w:pPr>
        <w:numPr>
          <w:ilvl w:val="0"/>
          <w:numId w:val="1002"/>
        </w:numPr>
        <w:pStyle w:val="Compact"/>
      </w:pPr>
      <w:r>
        <w:rPr>
          <w:bCs/>
          <w:b/>
        </w:rPr>
        <w:t xml:space="preserve">15% (ILS 140,361):</w:t>
      </w:r>
      <w:r>
        <w:t xml:space="preserve"> </w:t>
      </w:r>
      <w:r>
        <w:t xml:space="preserve">Upon issuance of the final Tova completion certificate and handover of all as-built documentation.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sixty (60) calendar days from the date of issue. Beyond this period, all rates and fees are subject to revision based on prevailing market conditions in Israel Tel Aviv.</w:t>
      </w:r>
    </w:p>
    <w:p>
      <w:pPr>
        <w:pStyle w:val="BodyText"/>
      </w:pPr>
      <w:r>
        <w:rPr>
          <w:bCs/>
          <w:b/>
        </w:rPr>
        <w:t xml:space="preserve">5.2</w:t>
      </w:r>
      <w:r>
        <w:t xml:space="preserve"> </w:t>
      </w:r>
      <w:r>
        <w:t xml:space="preserve">The Civil Engineer reserves the right to adjust the scope of work and corresponding fees in the event of significant design changes requested by the client after the initial structural design has been approved. Any such changes shall be documented in a written change order signed by both parties.</w:t>
      </w:r>
    </w:p>
    <w:p>
      <w:pPr>
        <w:pStyle w:val="BodyText"/>
      </w:pPr>
      <w:r>
        <w:rPr>
          <w:bCs/>
          <w:b/>
        </w:rPr>
        <w:t xml:space="preserve">5.3</w:t>
      </w:r>
      <w:r>
        <w:t xml:space="preserve"> </w:t>
      </w:r>
      <w:r>
        <w:t xml:space="preserve">All professional services shall be performed in accordance with the Code of Ethics of the Israel Engineering Association and the provisions of the Israeli Engineers and Architects Law, 5721-1961.</w:t>
      </w:r>
    </w:p>
    <w:p>
      <w:pPr>
        <w:pStyle w:val="BodyText"/>
      </w:pPr>
      <w:r>
        <w:rPr>
          <w:bCs/>
          <w:b/>
        </w:rPr>
        <w:t xml:space="preserve">5.4</w:t>
      </w:r>
      <w:r>
        <w:t xml:space="preserve"> </w:t>
      </w:r>
      <w:r>
        <w:t xml:space="preserve">The Civil Engineer shall maintain professional indemnity insurance with a minimum coverage of ILS 5,000,000 for the duration of the project. A certificate of insurance shall be provided to the client upon request.</w:t>
      </w:r>
    </w:p>
    <w:p>
      <w:pPr>
        <w:pStyle w:val="BodyText"/>
      </w:pPr>
      <w:r>
        <w:rPr>
          <w:bCs/>
          <w:b/>
        </w:rPr>
        <w:t xml:space="preserve">5.5</w:t>
      </w:r>
      <w:r>
        <w:t xml:space="preserve"> </w:t>
      </w:r>
      <w:r>
        <w:t xml:space="preserve">This Quotation Estimate does not include costs for third-party laboratory testing, geotechnical drilling equipment rental, or any municipal fees levied by the Tel Aviv-Yafo Municipality, which shall be borne directly by the client.</w:t>
      </w:r>
    </w:p>
    <w:p>
      <w:pPr>
        <w:pStyle w:val="BodyText"/>
      </w:pPr>
      <w:r>
        <w:rPr>
          <w:bCs/>
          <w:b/>
        </w:rPr>
        <w:t xml:space="preserve">5.6</w:t>
      </w:r>
      <w:r>
        <w:t xml:space="preserve"> </w:t>
      </w:r>
      <w:r>
        <w:t xml:space="preserve">Disputes arising from this Quotation Estimate or the resulting professional services agreement shall be resolved through binding arbitration in Tel Aviv, Israel, in accordance with the Israeli Arbitration Law, 5728-1968.</w:t>
      </w:r>
    </w:p>
    <w:p>
      <w:pPr>
        <w:pStyle w:val="BodyText"/>
      </w:pPr>
      <w:r>
        <w:rPr>
          <w:bCs/>
          <w:b/>
        </w:rPr>
        <w:t xml:space="preserve">5.7</w:t>
      </w:r>
      <w:r>
        <w:t xml:space="preserve"> </w:t>
      </w:r>
      <w:r>
        <w:t xml:space="preserve">All intellectual property, design drawings, and engineering calculations produced under this engagement shall become the property of the client upon full payment of all fees specified in this Quotation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that the scope of Civil Engineer services described herein meets the project requirements, and authorizes Levi &amp; Associates Civil Engineering Ltd. to proceed with the engagement upon execution of the formal professional services agreement.</w:t>
      </w:r>
    </w:p>
    <w:p>
      <w:pPr>
        <w:pStyle w:val="BodyText"/>
      </w:pPr>
      <w:r>
        <w:t xml:space="preserve">For Levi &amp; Associates Civil Engineering Ltd.</w:t>
      </w:r>
    </w:p>
    <w:p>
      <w:pPr>
        <w:pStyle w:val="BodyText"/>
      </w:pPr>
      <w:r>
        <w:t xml:space="preserve">Eng. David Levi, P.E.</w:t>
      </w:r>
      <w:r>
        <w:br/>
      </w:r>
      <w:r>
        <w:t xml:space="preserve">Licensed Civil Engineer</w:t>
      </w:r>
      <w:r>
        <w:br/>
      </w:r>
      <w:r>
        <w:t xml:space="preserve">IEA License No. 48291</w:t>
      </w:r>
      <w:r>
        <w:br/>
      </w:r>
      <w:r>
        <w:t xml:space="preserve">Date: _______________</w:t>
      </w:r>
    </w:p>
    <w:p>
      <w:pPr>
        <w:pStyle w:val="BodyText"/>
      </w:pPr>
      <w:r>
        <w:t xml:space="preserve">For Horizon Development Group (Client)</w:t>
      </w:r>
    </w:p>
    <w:p>
      <w:pPr>
        <w:pStyle w:val="BodyText"/>
      </w:pPr>
      <w:r>
        <w:t xml:space="preserve">Mr. Yossi Ben-David</w:t>
      </w:r>
      <w:r>
        <w:br/>
      </w:r>
      <w:r>
        <w:t xml:space="preserve">Project Director</w:t>
      </w:r>
      <w:r>
        <w:br/>
      </w:r>
      <w:r>
        <w:t xml:space="preserve">Date: _______________</w:t>
      </w:r>
    </w:p>
    <w:p>
      <w:pPr>
        <w:pStyle w:val="BodyText"/>
      </w:pPr>
      <w:r>
        <w:rPr>
          <w:bCs/>
          <w:b/>
        </w:rPr>
        <w:t xml:space="preserve">Important Notice:</w:t>
      </w:r>
      <w:r>
        <w:t xml:space="preserve"> </w:t>
      </w:r>
      <w:r>
        <w:t xml:space="preserve">This Quotation Estimate is a professional document issued by a licensed Civil Engineer in Israel Tel Aviv. It constitutes a formal offer for professional engineering services and is not a binding contract until both parties execute the definitive professional services agreement. All figures are quoted in Israeli New Shekels (ILS). This document is subject to the terms and conditions outlined in Section 5 and the applicable laws of the State of Israel.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Israel Tel Aviv</dc:title>
  <dc:creator/>
  <dc:language>en</dc:language>
  <cp:keywords/>
  <dcterms:created xsi:type="dcterms:W3CDTF">2026-10-10T04:33:09Z</dcterms:created>
  <dcterms:modified xsi:type="dcterms:W3CDTF">2026-10-10T04:33:09Z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