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467aa0e558c6ead0c643df375307224a7a8a403"/>
    <w:p>
      <w:pPr>
        <w:pStyle w:val="Heading1"/>
      </w:pPr>
      <w:r>
        <w:t xml:space="preserve">Kyoto Infrastructure Engineering Co., Ltd.</w:t>
      </w:r>
    </w:p>
    <w:p>
      <w:pPr>
        <w:pStyle w:val="FirstParagraph"/>
      </w:pPr>
      <w:r>
        <w:t xml:space="preserve">2-15-8 Shichijo, Nakagyo-ku, Kyoto 604-8001, Japan</w:t>
      </w:r>
    </w:p>
    <w:p>
      <w:pPr>
        <w:pStyle w:val="BodyText"/>
      </w:pPr>
      <w:r>
        <w:t xml:space="preserve">Tel: +81-75-555-0142 | Email: projects@kyoto-infra-eng.jp</w:t>
      </w:r>
    </w:p>
    <w:p>
      <w:pPr>
        <w:pStyle w:val="BodyText"/>
      </w:pPr>
      <w:r>
        <w:t xml:space="preserve">License No. KY-CIV-2024-0887 | Registered Civil Engineer Firm</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QE-KYO-2025-0347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Page:</w:t>
      </w:r>
      <w:r>
        <w:t xml:space="preserve"> </w:t>
      </w:r>
      <w:r>
        <w:t xml:space="preserve">1 of 1</w:t>
      </w:r>
    </w:p>
    <w:bookmarkEnd w:id="21"/>
    <w:p>
      <w:pPr>
        <w:pStyle w:val="BodyText"/>
      </w:pPr>
      <w:r>
        <w:t xml:space="preserve">1. Client &amp; Project Information</w:t>
      </w:r>
    </w:p>
    <w:bookmarkStart w:id="22" w:name="client-details"/>
    <w:p>
      <w:pPr>
        <w:pStyle w:val="Heading3"/>
      </w:pPr>
      <w:r>
        <w:t xml:space="preserve">Client Details</w:t>
      </w:r>
    </w:p>
    <w:p>
      <w:pPr>
        <w:pStyle w:val="FirstParagraph"/>
      </w:pPr>
      <w:r>
        <w:rPr>
          <w:bCs/>
          <w:b/>
        </w:rPr>
        <w:t xml:space="preserve">Client Name:</w:t>
      </w:r>
      <w:r>
        <w:t xml:space="preserve"> </w:t>
      </w:r>
      <w:r>
        <w:t xml:space="preserve">Kyoto Municipal Public Works Department</w:t>
      </w:r>
    </w:p>
    <w:p>
      <w:pPr>
        <w:pStyle w:val="BodyText"/>
      </w:pPr>
      <w:r>
        <w:rPr>
          <w:bCs/>
          <w:b/>
        </w:rPr>
        <w:t xml:space="preserve">Attn:</w:t>
      </w:r>
      <w:r>
        <w:t xml:space="preserve"> </w:t>
      </w:r>
      <w:r>
        <w:t xml:space="preserve">Mr. Tanaka Hiroshi, Senior Project Director</w:t>
      </w:r>
    </w:p>
    <w:p>
      <w:pPr>
        <w:pStyle w:val="BodyText"/>
      </w:pPr>
      <w:r>
        <w:rPr>
          <w:bCs/>
          <w:b/>
        </w:rPr>
        <w:t xml:space="preserve">Address:</w:t>
      </w:r>
      <w:r>
        <w:t xml:space="preserve"> </w:t>
      </w:r>
      <w:r>
        <w:t xml:space="preserve">1-1-1 Higashiyama, Kyoto, Japan</w:t>
      </w:r>
    </w:p>
    <w:p>
      <w:pPr>
        <w:pStyle w:val="BodyText"/>
      </w:pPr>
      <w:r>
        <w:rPr>
          <w:bCs/>
          <w:b/>
        </w:rPr>
        <w:t xml:space="preserve">Contact:</w:t>
      </w:r>
      <w:r>
        <w:t xml:space="preserve"> </w:t>
      </w:r>
      <w:r>
        <w:t xml:space="preserve">+81-75-212-3400</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Riverside Drainage &amp; Retaining Wall Rehabilitation</w:t>
      </w:r>
    </w:p>
    <w:p>
      <w:pPr>
        <w:pStyle w:val="BodyText"/>
      </w:pPr>
      <w:r>
        <w:rPr>
          <w:bCs/>
          <w:b/>
        </w:rPr>
        <w:t xml:space="preserve">Location:</w:t>
      </w:r>
      <w:r>
        <w:t xml:space="preserve"> </w:t>
      </w:r>
      <w:r>
        <w:t xml:space="preserve">Kamo River Corridor, Nakagyo-ku, Japan Kyoto</w:t>
      </w:r>
    </w:p>
    <w:p>
      <w:pPr>
        <w:pStyle w:val="BodyText"/>
      </w:pPr>
      <w:r>
        <w:rPr>
          <w:bCs/>
          <w:b/>
        </w:rPr>
        <w:t xml:space="preserve">Estimated Duration:</w:t>
      </w:r>
      <w:r>
        <w:t xml:space="preserve"> </w:t>
      </w:r>
      <w:r>
        <w:t xml:space="preserve">14 months (July 2025 – August 2026)</w:t>
      </w:r>
    </w:p>
    <w:p>
      <w:pPr>
        <w:pStyle w:val="BodyText"/>
      </w:pPr>
      <w:r>
        <w:rPr>
          <w:bCs/>
          <w:b/>
        </w:rPr>
        <w:t xml:space="preserve">Contract Type:</w:t>
      </w:r>
      <w:r>
        <w:t xml:space="preserve"> </w:t>
      </w:r>
      <w:r>
        <w:t xml:space="preserve">Fixed-Price with Milestone Payments</w:t>
      </w:r>
    </w:p>
    <w:bookmarkEnd w:id="23"/>
    <w:p>
      <w:pPr>
        <w:pStyle w:val="BodyText"/>
      </w:pPr>
      <w:r>
        <w:t xml:space="preserve">2. Scope of Civil Engineer Services</w:t>
      </w:r>
    </w:p>
    <w:p>
      <w:pPr>
        <w:pStyle w:val="BodyText"/>
      </w:pPr>
      <w:r>
        <w:t xml:space="preserve">This</w:t>
      </w:r>
      <w:r>
        <w:t xml:space="preserve"> </w:t>
      </w:r>
      <w:r>
        <w:t xml:space="preserve">Quotation Estimate</w:t>
      </w:r>
      <w:r>
        <w:t xml:space="preserve"> </w:t>
      </w:r>
      <w:r>
        <w:t xml:space="preserve">is prepared by our firm in response to the formal request for</w:t>
      </w:r>
      <w:r>
        <w:t xml:space="preserve"> </w:t>
      </w:r>
      <w:r>
        <w:t xml:space="preserve">Civil Engineer</w:t>
      </w:r>
      <w:r>
        <w:t xml:space="preserve"> </w:t>
      </w:r>
      <w:r>
        <w:t xml:space="preserve">professional services for the Riverside Drainage and Retaining Wall Rehabilitation project located in the Kamo River corridor of</w:t>
      </w:r>
      <w:r>
        <w:t xml:space="preserve"> </w:t>
      </w:r>
      <w:r>
        <w:t xml:space="preserve">Japan Kyoto</w:t>
      </w:r>
      <w:r>
        <w:t xml:space="preserve">. The scope of work encompasses the full spectrum of civil engineering consultancy, design, supervision, and quality assurance activities required to deliver a safe, compliant, and durable infrastructure asset within the historic and seismically active environment of Japan Kyoto.</w:t>
      </w:r>
    </w:p>
    <w:p>
      <w:pPr>
        <w:pStyle w:val="BodyText"/>
      </w:pPr>
      <w:r>
        <w:t xml:space="preserve">As the designated</w:t>
      </w:r>
      <w:r>
        <w:t xml:space="preserve"> </w:t>
      </w:r>
      <w:r>
        <w:t xml:space="preserve">Civil Engineer</w:t>
      </w:r>
      <w:r>
        <w:t xml:space="preserve"> </w:t>
      </w:r>
      <w:r>
        <w:t xml:space="preserve">of record, our team will be responsible for structural analysis of existing retaining walls, hydraulic modelling of the drainage network, geotechnical investigation oversight, detailed construction drawings, and on-site supervision throughout the construction phase. All deliverables will conform to the Japan Road Association (JRA) standards, the Building Standards Act of Japan, and the specific municipal bylaws governing infrastructure works in Japan Kyoto.</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survey, topographic mapping, and geotechnical borehole programme (12 boreholes) in Japan Kyoto</w:t>
            </w:r>
          </w:p>
        </w:tc>
        <w:tc>
          <w:tcPr/>
          <w:p>
            <w:pPr>
              <w:pStyle w:val="Compact"/>
              <w:jc w:val="left"/>
            </w:pPr>
            <w:r>
              <w:t xml:space="preserve">6 weeks</w:t>
            </w:r>
          </w:p>
        </w:tc>
        <w:tc>
          <w:tcPr/>
          <w:p>
            <w:pPr>
              <w:pStyle w:val="Compact"/>
              <w:jc w:val="left"/>
            </w:pPr>
            <w:r>
              <w:t xml:space="preserve">—</w:t>
            </w:r>
          </w:p>
        </w:tc>
        <w:tc>
          <w:tcPr/>
          <w:p>
            <w:pPr>
              <w:pStyle w:val="Compact"/>
              <w:jc w:val="left"/>
            </w:pPr>
            <w:r>
              <w:t xml:space="preserve">4,800,000</w:t>
            </w:r>
          </w:p>
        </w:tc>
        <w:tc>
          <w:tcPr/>
          <w:p>
            <w:pPr>
              <w:pStyle w:val="Compact"/>
              <w:jc w:val="left"/>
            </w:pPr>
            <w:r>
              <w:t xml:space="preserve">Incl. lab testing</w:t>
            </w:r>
          </w:p>
        </w:tc>
      </w:tr>
      <w:tr>
        <w:tc>
          <w:tcPr/>
          <w:p>
            <w:pPr>
              <w:pStyle w:val="Compact"/>
              <w:jc w:val="left"/>
            </w:pPr>
            <w:r>
              <w:t xml:space="preserve">2</w:t>
            </w:r>
          </w:p>
        </w:tc>
        <w:tc>
          <w:tcPr/>
          <w:p>
            <w:pPr>
              <w:pStyle w:val="Compact"/>
              <w:jc w:val="left"/>
            </w:pPr>
            <w:r>
              <w:t xml:space="preserve">Structural assessment and load analysis of existing 320 m retaining wall system</w:t>
            </w:r>
          </w:p>
        </w:tc>
        <w:tc>
          <w:tcPr/>
          <w:p>
            <w:pPr>
              <w:pStyle w:val="Compact"/>
              <w:jc w:val="left"/>
            </w:pPr>
            <w:r>
              <w:t xml:space="preserve">8 weeks</w:t>
            </w:r>
          </w:p>
        </w:tc>
        <w:tc>
          <w:tcPr/>
          <w:p>
            <w:pPr>
              <w:pStyle w:val="Compact"/>
              <w:jc w:val="left"/>
            </w:pPr>
            <w:r>
              <w:t xml:space="preserve">—</w:t>
            </w:r>
          </w:p>
        </w:tc>
        <w:tc>
          <w:tcPr/>
          <w:p>
            <w:pPr>
              <w:pStyle w:val="Compact"/>
              <w:jc w:val="left"/>
            </w:pPr>
            <w:r>
              <w:t xml:space="preserve">6,200,000</w:t>
            </w:r>
          </w:p>
        </w:tc>
        <w:tc>
          <w:tcPr/>
          <w:p>
            <w:pPr>
              <w:pStyle w:val="Compact"/>
              <w:jc w:val="left"/>
            </w:pPr>
            <w:r>
              <w:t xml:space="preserve">FEA modelling</w:t>
            </w:r>
          </w:p>
        </w:tc>
      </w:tr>
      <w:tr>
        <w:tc>
          <w:tcPr/>
          <w:p>
            <w:pPr>
              <w:pStyle w:val="Compact"/>
              <w:jc w:val="left"/>
            </w:pPr>
            <w:r>
              <w:t xml:space="preserve">3</w:t>
            </w:r>
          </w:p>
        </w:tc>
        <w:tc>
          <w:tcPr/>
          <w:p>
            <w:pPr>
              <w:pStyle w:val="Compact"/>
              <w:jc w:val="left"/>
            </w:pPr>
            <w:r>
              <w:t xml:space="preserve">Hydraulic and drainage network design (Q100 storm event, Japan Kyoto rainfall data)</w:t>
            </w:r>
          </w:p>
        </w:tc>
        <w:tc>
          <w:tcPr/>
          <w:p>
            <w:pPr>
              <w:pStyle w:val="Compact"/>
              <w:jc w:val="left"/>
            </w:pPr>
            <w:r>
              <w:t xml:space="preserve">10 weeks</w:t>
            </w:r>
          </w:p>
        </w:tc>
        <w:tc>
          <w:tcPr/>
          <w:p>
            <w:pPr>
              <w:pStyle w:val="Compact"/>
              <w:jc w:val="left"/>
            </w:pPr>
            <w:r>
              <w:t xml:space="preserve">—</w:t>
            </w:r>
          </w:p>
        </w:tc>
        <w:tc>
          <w:tcPr/>
          <w:p>
            <w:pPr>
              <w:pStyle w:val="Compact"/>
              <w:jc w:val="left"/>
            </w:pPr>
            <w:r>
              <w:t xml:space="preserve">5,400,000</w:t>
            </w:r>
          </w:p>
        </w:tc>
        <w:tc>
          <w:tcPr/>
          <w:p>
            <w:pPr>
              <w:pStyle w:val="Compact"/>
              <w:jc w:val="left"/>
            </w:pPr>
            <w:r>
              <w:t xml:space="preserve">HEC-RAS / SWMM</w:t>
            </w:r>
          </w:p>
        </w:tc>
      </w:tr>
      <w:tr>
        <w:tc>
          <w:tcPr/>
          <w:p>
            <w:pPr>
              <w:pStyle w:val="Compact"/>
              <w:jc w:val="left"/>
            </w:pPr>
            <w:r>
              <w:t xml:space="preserve">4</w:t>
            </w:r>
          </w:p>
        </w:tc>
        <w:tc>
          <w:tcPr/>
          <w:p>
            <w:pPr>
              <w:pStyle w:val="Compact"/>
              <w:jc w:val="left"/>
            </w:pPr>
            <w:r>
              <w:t xml:space="preserve">Detailed construction drawings, specifications, and BOQ preparation</w:t>
            </w:r>
          </w:p>
        </w:tc>
        <w:tc>
          <w:tcPr/>
          <w:p>
            <w:pPr>
              <w:pStyle w:val="Compact"/>
              <w:jc w:val="left"/>
            </w:pPr>
            <w:r>
              <w:t xml:space="preserve">12 weeks</w:t>
            </w:r>
          </w:p>
        </w:tc>
        <w:tc>
          <w:tcPr/>
          <w:p>
            <w:pPr>
              <w:pStyle w:val="Compact"/>
              <w:jc w:val="left"/>
            </w:pPr>
            <w:r>
              <w:t xml:space="preserve">—</w:t>
            </w:r>
          </w:p>
        </w:tc>
        <w:tc>
          <w:tcPr/>
          <w:p>
            <w:pPr>
              <w:pStyle w:val="Compact"/>
              <w:jc w:val="left"/>
            </w:pPr>
            <w:r>
              <w:t xml:space="preserve">7,800,000</w:t>
            </w:r>
          </w:p>
        </w:tc>
        <w:tc>
          <w:tcPr/>
          <w:p>
            <w:pPr>
              <w:pStyle w:val="Compact"/>
              <w:jc w:val="left"/>
            </w:pPr>
            <w:r>
              <w:t xml:space="preserve">Rev. 0–2</w:t>
            </w:r>
          </w:p>
        </w:tc>
      </w:tr>
      <w:tr>
        <w:tc>
          <w:tcPr/>
          <w:p>
            <w:pPr>
              <w:pStyle w:val="Compact"/>
              <w:jc w:val="left"/>
            </w:pPr>
            <w:r>
              <w:t xml:space="preserve">5</w:t>
            </w:r>
          </w:p>
        </w:tc>
        <w:tc>
          <w:tcPr/>
          <w:p>
            <w:pPr>
              <w:pStyle w:val="Compact"/>
              <w:jc w:val="left"/>
            </w:pPr>
            <w:r>
              <w:t xml:space="preserve">Seismic design verification per JRA 2024 guidelines for Japan Kyoto zone</w:t>
            </w:r>
          </w:p>
        </w:tc>
        <w:tc>
          <w:tcPr/>
          <w:p>
            <w:pPr>
              <w:pStyle w:val="Compact"/>
              <w:jc w:val="left"/>
            </w:pPr>
            <w:r>
              <w:t xml:space="preserve">6 weeks</w:t>
            </w:r>
          </w:p>
        </w:tc>
        <w:tc>
          <w:tcPr/>
          <w:p>
            <w:pPr>
              <w:pStyle w:val="Compact"/>
              <w:jc w:val="left"/>
            </w:pPr>
            <w:r>
              <w:t xml:space="preserve">—</w:t>
            </w:r>
          </w:p>
        </w:tc>
        <w:tc>
          <w:tcPr/>
          <w:p>
            <w:pPr>
              <w:pStyle w:val="Compact"/>
              <w:jc w:val="left"/>
            </w:pPr>
            <w:r>
              <w:t xml:space="preserve">3,600,000</w:t>
            </w:r>
          </w:p>
        </w:tc>
        <w:tc>
          <w:tcPr/>
          <w:p>
            <w:pPr>
              <w:pStyle w:val="Compact"/>
              <w:jc w:val="left"/>
            </w:pPr>
            <w:r>
              <w:t xml:space="preserve">Response spectrum</w:t>
            </w:r>
          </w:p>
        </w:tc>
      </w:tr>
      <w:tr>
        <w:tc>
          <w:tcPr/>
          <w:p>
            <w:pPr>
              <w:pStyle w:val="Compact"/>
              <w:jc w:val="left"/>
            </w:pPr>
            <w:r>
              <w:t xml:space="preserve">6</w:t>
            </w:r>
          </w:p>
        </w:tc>
        <w:tc>
          <w:tcPr/>
          <w:p>
            <w:pPr>
              <w:pStyle w:val="Compact"/>
              <w:jc w:val="left"/>
            </w:pPr>
            <w:r>
              <w:t xml:space="preserve">Construction-phase supervision and quality control (full duration)</w:t>
            </w:r>
          </w:p>
        </w:tc>
        <w:tc>
          <w:tcPr/>
          <w:p>
            <w:pPr>
              <w:pStyle w:val="Compact"/>
              <w:jc w:val="left"/>
            </w:pPr>
            <w:r>
              <w:t xml:space="preserve">14 months</w:t>
            </w:r>
          </w:p>
        </w:tc>
        <w:tc>
          <w:tcPr/>
          <w:p>
            <w:pPr>
              <w:pStyle w:val="Compact"/>
              <w:jc w:val="left"/>
            </w:pPr>
            <w:r>
              <w:t xml:space="preserve">—</w:t>
            </w:r>
          </w:p>
        </w:tc>
        <w:tc>
          <w:tcPr/>
          <w:p>
            <w:pPr>
              <w:pStyle w:val="Compact"/>
              <w:jc w:val="left"/>
            </w:pPr>
            <w:r>
              <w:t xml:space="preserve">18,500,000</w:t>
            </w:r>
          </w:p>
        </w:tc>
        <w:tc>
          <w:tcPr/>
          <w:p>
            <w:pPr>
              <w:pStyle w:val="Compact"/>
              <w:jc w:val="left"/>
            </w:pPr>
            <w:r>
              <w:t xml:space="preserve">2 engineers on-site</w:t>
            </w:r>
          </w:p>
        </w:tc>
      </w:tr>
      <w:tr>
        <w:tc>
          <w:tcPr/>
          <w:p>
            <w:pPr>
              <w:pStyle w:val="Compact"/>
              <w:jc w:val="left"/>
            </w:pPr>
            <w:r>
              <w:t xml:space="preserve">7</w:t>
            </w:r>
          </w:p>
        </w:tc>
        <w:tc>
          <w:tcPr/>
          <w:p>
            <w:pPr>
              <w:pStyle w:val="Compact"/>
              <w:jc w:val="left"/>
            </w:pPr>
            <w:r>
              <w:t xml:space="preserve">Environmental impact monitoring and heritage-structure coordination (Japan Kyoto cultural assets)</w:t>
            </w:r>
          </w:p>
        </w:tc>
        <w:tc>
          <w:tcPr/>
          <w:p>
            <w:pPr>
              <w:pStyle w:val="Compact"/>
              <w:jc w:val="left"/>
            </w:pPr>
            <w:r>
              <w:t xml:space="preserve">14 months</w:t>
            </w:r>
          </w:p>
        </w:tc>
        <w:tc>
          <w:tcPr/>
          <w:p>
            <w:pPr>
              <w:pStyle w:val="Compact"/>
              <w:jc w:val="left"/>
            </w:pPr>
            <w:r>
              <w:t xml:space="preserve">—</w:t>
            </w:r>
          </w:p>
        </w:tc>
        <w:tc>
          <w:tcPr/>
          <w:p>
            <w:pPr>
              <w:pStyle w:val="Compact"/>
              <w:jc w:val="left"/>
            </w:pPr>
            <w:r>
              <w:t xml:space="preserve">4,200,000</w:t>
            </w:r>
          </w:p>
        </w:tc>
        <w:tc>
          <w:tcPr/>
          <w:p>
            <w:pPr>
              <w:pStyle w:val="Compact"/>
              <w:jc w:val="left"/>
            </w:pPr>
            <w:r>
              <w:t xml:space="preserve">Monthly reports</w:t>
            </w:r>
          </w:p>
        </w:tc>
      </w:tr>
      <w:tr>
        <w:tc>
          <w:tcPr/>
          <w:p>
            <w:pPr>
              <w:pStyle w:val="Compact"/>
              <w:jc w:val="left"/>
            </w:pPr>
            <w:r>
              <w:t xml:space="preserve">8</w:t>
            </w:r>
          </w:p>
        </w:tc>
        <w:tc>
          <w:tcPr/>
          <w:p>
            <w:pPr>
              <w:pStyle w:val="Compact"/>
              <w:jc w:val="left"/>
            </w:pPr>
            <w:r>
              <w:t xml:space="preserve">As-built documentation, final inspection, and handover certification</w:t>
            </w:r>
          </w:p>
        </w:tc>
        <w:tc>
          <w:tcPr/>
          <w:p>
            <w:pPr>
              <w:pStyle w:val="Compact"/>
              <w:jc w:val="left"/>
            </w:pPr>
            <w:r>
              <w:t xml:space="preserve">4 weeks</w:t>
            </w:r>
          </w:p>
        </w:tc>
        <w:tc>
          <w:tcPr/>
          <w:p>
            <w:pPr>
              <w:pStyle w:val="Compact"/>
              <w:jc w:val="left"/>
            </w:pPr>
            <w:r>
              <w:t xml:space="preserve">—</w:t>
            </w:r>
          </w:p>
        </w:tc>
        <w:tc>
          <w:tcPr/>
          <w:p>
            <w:pPr>
              <w:pStyle w:val="Compact"/>
              <w:jc w:val="left"/>
            </w:pPr>
            <w:r>
              <w:t xml:space="preserve">2,500,000</w:t>
            </w:r>
          </w:p>
        </w:tc>
        <w:tc>
          <w:tcPr/>
          <w:p>
            <w:pPr>
              <w:pStyle w:val="Compact"/>
              <w:jc w:val="left"/>
            </w:pPr>
            <w:r>
              <w:t xml:space="preserve">Final report</w:t>
            </w:r>
          </w:p>
        </w:tc>
      </w:tr>
      <w:tr>
        <w:tc>
          <w:tcPr/>
          <w:p>
            <w:pPr>
              <w:pStyle w:val="Compact"/>
              <w:jc w:val="left"/>
            </w:pPr>
            <w:r>
              <w:t xml:space="preserve">9</w:t>
            </w:r>
          </w:p>
        </w:tc>
        <w:tc>
          <w:tcPr/>
          <w:p>
            <w:pPr>
              <w:pStyle w:val="Compact"/>
              <w:jc w:val="left"/>
            </w:pPr>
            <w:r>
              <w:t xml:space="preserve">Administrative overhead, insurance, and professional liability coverage</w:t>
            </w:r>
          </w:p>
        </w:tc>
        <w:tc>
          <w:tcPr/>
          <w:p>
            <w:pPr>
              <w:pStyle w:val="Compact"/>
              <w:jc w:val="left"/>
            </w:pPr>
            <w:r>
              <w:t xml:space="preserve">Full term</w:t>
            </w:r>
          </w:p>
        </w:tc>
        <w:tc>
          <w:tcPr/>
          <w:p>
            <w:pPr>
              <w:pStyle w:val="Compact"/>
              <w:jc w:val="left"/>
            </w:pPr>
            <w:r>
              <w:t xml:space="preserve">—</w:t>
            </w:r>
          </w:p>
        </w:tc>
        <w:tc>
          <w:tcPr/>
          <w:p>
            <w:pPr>
              <w:pStyle w:val="Compact"/>
              <w:jc w:val="left"/>
            </w:pPr>
            <w:r>
              <w:t xml:space="preserve">3,000,000</w:t>
            </w:r>
          </w:p>
        </w:tc>
        <w:tc>
          <w:tcPr/>
          <w:p>
            <w:pPr>
              <w:pStyle w:val="Compact"/>
              <w:jc w:val="left"/>
            </w:pPr>
            <w:r>
              <w:t xml:space="preserve">5% of subtotal</w:t>
            </w:r>
          </w:p>
        </w:tc>
      </w:tr>
      <w:tr>
        <w:tc>
          <w:tcPr>
            <w:gridSpan w:val="4"/>
          </w:tcPr>
          <w:p>
            <w:pPr>
              <w:pStyle w:val="Compact"/>
              <w:jc w:val="right"/>
            </w:pPr>
            <w:r>
              <w:t xml:space="preserve">Subtotal (JPY)</w:t>
            </w:r>
          </w:p>
        </w:tc>
        <w:tc>
          <w:tcPr/>
          <w:p>
            <w:pPr>
              <w:pStyle w:val="Compact"/>
              <w:jc w:val="left"/>
            </w:pPr>
            <w:r>
              <w:t xml:space="preserve">56,000,000</w:t>
            </w:r>
          </w:p>
        </w:tc>
        <w:tc>
          <w:tcPr/>
          <w:p>
            <w:pPr>
              <w:pStyle w:val="Compact"/>
            </w:pPr>
          </w:p>
        </w:tc>
      </w:tr>
      <w:tr>
        <w:tc>
          <w:tcPr>
            <w:gridSpan w:val="4"/>
          </w:tcPr>
          <w:p>
            <w:pPr>
              <w:pStyle w:val="Compact"/>
              <w:jc w:val="right"/>
            </w:pPr>
            <w:r>
              <w:t xml:space="preserve">Consumption Tax (10%)</w:t>
            </w:r>
          </w:p>
        </w:tc>
        <w:tc>
          <w:tcPr/>
          <w:p>
            <w:pPr>
              <w:pStyle w:val="Compact"/>
              <w:jc w:val="left"/>
            </w:pPr>
            <w:r>
              <w:t xml:space="preserve">5,600,000</w:t>
            </w:r>
          </w:p>
        </w:tc>
        <w:tc>
          <w:tcPr/>
          <w:p>
            <w:pPr>
              <w:pStyle w:val="Compact"/>
            </w:pPr>
          </w:p>
        </w:tc>
      </w:tr>
      <w:tr>
        <w:tc>
          <w:tcPr>
            <w:gridSpan w:val="4"/>
          </w:tcPr>
          <w:p>
            <w:pPr>
              <w:pStyle w:val="Compact"/>
              <w:jc w:val="right"/>
            </w:pPr>
            <w:r>
              <w:t xml:space="preserve">TOTAL QUOTATION ESTIMATE (JPY)</w:t>
            </w:r>
          </w:p>
        </w:tc>
        <w:tc>
          <w:tcPr/>
          <w:p>
            <w:pPr>
              <w:pStyle w:val="Compact"/>
              <w:jc w:val="left"/>
            </w:pPr>
            <w:r>
              <w:t xml:space="preserve">61,600,000</w:t>
            </w:r>
          </w:p>
        </w:tc>
        <w:tc>
          <w:tcPr/>
          <w:p>
            <w:pPr>
              <w:pStyle w:val="Compact"/>
              <w:jc w:val="left"/>
            </w:pPr>
            <w:r>
              <w:t xml:space="preserve">≈ USD 412,000</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left"/>
            </w:pPr>
            <w:r>
              <w:t xml:space="preserve">Percentage</w:t>
            </w:r>
          </w:p>
        </w:tc>
        <w:tc>
          <w:tcPr/>
          <w:p>
            <w:pPr>
              <w:pStyle w:val="Compact"/>
              <w:jc w:val="left"/>
            </w:pPr>
            <w:r>
              <w:t xml:space="preserve">Amount (JPY)</w:t>
            </w:r>
          </w:p>
        </w:tc>
      </w:tr>
      <w:tr>
        <w:tc>
          <w:tcPr/>
          <w:p>
            <w:pPr>
              <w:pStyle w:val="Compact"/>
              <w:jc w:val="left"/>
            </w:pPr>
            <w:r>
              <w:t xml:space="preserve">M1 – Mobilisation</w:t>
            </w:r>
          </w:p>
        </w:tc>
        <w:tc>
          <w:tcPr/>
          <w:p>
            <w:pPr>
              <w:pStyle w:val="Compact"/>
              <w:jc w:val="left"/>
            </w:pPr>
            <w:r>
              <w:t xml:space="preserve">Contract execution &amp; site access granted</w:t>
            </w:r>
          </w:p>
        </w:tc>
        <w:tc>
          <w:tcPr/>
          <w:p>
            <w:pPr>
              <w:pStyle w:val="Compact"/>
              <w:jc w:val="left"/>
            </w:pPr>
            <w:r>
              <w:t xml:space="preserve">15%</w:t>
            </w:r>
          </w:p>
        </w:tc>
        <w:tc>
          <w:tcPr/>
          <w:p>
            <w:pPr>
              <w:pStyle w:val="Compact"/>
              <w:jc w:val="left"/>
            </w:pPr>
            <w:r>
              <w:t xml:space="preserve">9,240,000</w:t>
            </w:r>
          </w:p>
        </w:tc>
      </w:tr>
      <w:tr>
        <w:tc>
          <w:tcPr/>
          <w:p>
            <w:pPr>
              <w:pStyle w:val="Compact"/>
              <w:jc w:val="left"/>
            </w:pPr>
            <w:r>
              <w:t xml:space="preserve">M2 – Design Approval</w:t>
            </w:r>
          </w:p>
        </w:tc>
        <w:tc>
          <w:tcPr/>
          <w:p>
            <w:pPr>
              <w:pStyle w:val="Compact"/>
              <w:jc w:val="left"/>
            </w:pPr>
            <w:r>
              <w:t xml:space="preserve">Client sign-off on Rev. 2 drawings</w:t>
            </w:r>
          </w:p>
        </w:tc>
        <w:tc>
          <w:tcPr/>
          <w:p>
            <w:pPr>
              <w:pStyle w:val="Compact"/>
              <w:jc w:val="left"/>
            </w:pPr>
            <w:r>
              <w:t xml:space="preserve">25%</w:t>
            </w:r>
          </w:p>
        </w:tc>
        <w:tc>
          <w:tcPr/>
          <w:p>
            <w:pPr>
              <w:pStyle w:val="Compact"/>
              <w:jc w:val="left"/>
            </w:pPr>
            <w:r>
              <w:t xml:space="preserve">15,400,000</w:t>
            </w:r>
          </w:p>
        </w:tc>
      </w:tr>
      <w:tr>
        <w:tc>
          <w:tcPr/>
          <w:p>
            <w:pPr>
              <w:pStyle w:val="Compact"/>
              <w:jc w:val="left"/>
            </w:pPr>
            <w:r>
              <w:t xml:space="preserve">M3 – 50% Construction</w:t>
            </w:r>
          </w:p>
        </w:tc>
        <w:tc>
          <w:tcPr/>
          <w:p>
            <w:pPr>
              <w:pStyle w:val="Compact"/>
              <w:jc w:val="left"/>
            </w:pPr>
            <w:r>
              <w:t xml:space="preserve">Mid-point inspection certificate</w:t>
            </w:r>
          </w:p>
        </w:tc>
        <w:tc>
          <w:tcPr/>
          <w:p>
            <w:pPr>
              <w:pStyle w:val="Compact"/>
              <w:jc w:val="left"/>
            </w:pPr>
            <w:r>
              <w:t xml:space="preserve">30%</w:t>
            </w:r>
          </w:p>
        </w:tc>
        <w:tc>
          <w:tcPr/>
          <w:p>
            <w:pPr>
              <w:pStyle w:val="Compact"/>
              <w:jc w:val="left"/>
            </w:pPr>
            <w:r>
              <w:t xml:space="preserve">18,480,000</w:t>
            </w:r>
          </w:p>
        </w:tc>
      </w:tr>
      <w:tr>
        <w:tc>
          <w:tcPr/>
          <w:p>
            <w:pPr>
              <w:pStyle w:val="Compact"/>
              <w:jc w:val="left"/>
            </w:pPr>
            <w:r>
              <w:t xml:space="preserve">M4 – Substantial Completion</w:t>
            </w:r>
          </w:p>
        </w:tc>
        <w:tc>
          <w:tcPr/>
          <w:p>
            <w:pPr>
              <w:pStyle w:val="Compact"/>
              <w:jc w:val="left"/>
            </w:pPr>
            <w:r>
              <w:t xml:space="preserve">Practical completion certificate</w:t>
            </w:r>
          </w:p>
        </w:tc>
        <w:tc>
          <w:tcPr/>
          <w:p>
            <w:pPr>
              <w:pStyle w:val="Compact"/>
              <w:jc w:val="left"/>
            </w:pPr>
            <w:r>
              <w:t xml:space="preserve">20%</w:t>
            </w:r>
          </w:p>
        </w:tc>
        <w:tc>
          <w:tcPr/>
          <w:p>
            <w:pPr>
              <w:pStyle w:val="Compact"/>
              <w:jc w:val="left"/>
            </w:pPr>
            <w:r>
              <w:t xml:space="preserve">12,320,000</w:t>
            </w:r>
          </w:p>
        </w:tc>
      </w:tr>
      <w:tr>
        <w:tc>
          <w:tcPr/>
          <w:p>
            <w:pPr>
              <w:pStyle w:val="Compact"/>
              <w:jc w:val="left"/>
            </w:pPr>
            <w:r>
              <w:t xml:space="preserve">M5 – Final Handover</w:t>
            </w:r>
          </w:p>
        </w:tc>
        <w:tc>
          <w:tcPr/>
          <w:p>
            <w:pPr>
              <w:pStyle w:val="Compact"/>
              <w:jc w:val="left"/>
            </w:pPr>
            <w:r>
              <w:t xml:space="preserve">Defects liability period expiry (6 months)</w:t>
            </w:r>
          </w:p>
        </w:tc>
        <w:tc>
          <w:tcPr/>
          <w:p>
            <w:pPr>
              <w:pStyle w:val="Compact"/>
              <w:jc w:val="left"/>
            </w:pPr>
            <w:r>
              <w:t xml:space="preserve">10%</w:t>
            </w:r>
          </w:p>
        </w:tc>
        <w:tc>
          <w:tcPr/>
          <w:p>
            <w:pPr>
              <w:pStyle w:val="Compact"/>
              <w:jc w:val="left"/>
            </w:pPr>
            <w:r>
              <w:t xml:space="preserve">6,160,000</w:t>
            </w:r>
          </w:p>
        </w:tc>
      </w:tr>
    </w:tbl>
    <w:p>
      <w:pPr>
        <w:pStyle w:val="BodyText"/>
      </w:pPr>
      <w:r>
        <w:t xml:space="preserve">5.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are subject to revision based on prevailing material costs and labour market conditions in Japan Kyoto.</w:t>
      </w:r>
    </w:p>
    <w:p>
      <w:pPr>
        <w:numPr>
          <w:ilvl w:val="0"/>
          <w:numId w:val="1001"/>
        </w:numPr>
        <w:pStyle w:val="Compact"/>
      </w:pPr>
      <w:r>
        <w:t xml:space="preserve">All</w:t>
      </w:r>
      <w:r>
        <w:t xml:space="preserve"> </w:t>
      </w:r>
      <w:r>
        <w:t xml:space="preserve">Civil Engineer</w:t>
      </w:r>
      <w:r>
        <w:t xml:space="preserve"> </w:t>
      </w:r>
      <w:r>
        <w:t xml:space="preserve">services shall be performed in strict accordance with the Japan Road Association (JRA) specifications, the Building Standards Act, and the Kyoto Prefecture Infrastructure Maintenance Guidelines. Any deviation must be approved in writing by the client prior to implementation.</w:t>
      </w:r>
    </w:p>
    <w:p>
      <w:pPr>
        <w:numPr>
          <w:ilvl w:val="0"/>
          <w:numId w:val="1001"/>
        </w:numPr>
        <w:pStyle w:val="Compact"/>
      </w:pPr>
      <w:r>
        <w:t xml:space="preserve">The</w:t>
      </w:r>
      <w:r>
        <w:t xml:space="preserve"> </w:t>
      </w:r>
      <w:r>
        <w:t xml:space="preserve">Civil Engineer</w:t>
      </w:r>
      <w:r>
        <w:t xml:space="preserve"> </w:t>
      </w:r>
      <w:r>
        <w:t xml:space="preserve">of record shall hold a valid Japanese Registered Civil Engineer (RCE) licence. All senior personnel assigned to this project in Japan Kyoto shall possess a minimum of ten (10) years of relevant experience in riverine and retaining-wall structures.</w:t>
      </w:r>
    </w:p>
    <w:p>
      <w:pPr>
        <w:numPr>
          <w:ilvl w:val="0"/>
          <w:numId w:val="1001"/>
        </w:numPr>
        <w:pStyle w:val="Compact"/>
      </w:pPr>
      <w:r>
        <w:t xml:space="preserve">Payment terms: Net 45 days from the date of invoice issuance. Late payments shall accrue interest at 1.5% per month as stipulated under the Act on Prompt Payment of Subcontracted Moneys.</w:t>
      </w:r>
    </w:p>
    <w:p>
      <w:pPr>
        <w:numPr>
          <w:ilvl w:val="0"/>
          <w:numId w:val="1001"/>
        </w:numPr>
        <w:pStyle w:val="Compact"/>
      </w:pPr>
      <w:r>
        <w:t xml:space="preserve">Force Majeure: In the event of earthquakes, typhoons, or other natural disasters affecting Japan Kyoto, the project timeline shall be extended proportionally without penalty to either party.</w:t>
      </w:r>
    </w:p>
    <w:p>
      <w:pPr>
        <w:numPr>
          <w:ilvl w:val="0"/>
          <w:numId w:val="1001"/>
        </w:numPr>
        <w:pStyle w:val="Compact"/>
      </w:pPr>
      <w:r>
        <w:t xml:space="preserve">Confidentiality: All data, drawings, and reports generated under this</w:t>
      </w:r>
      <w:r>
        <w:t xml:space="preserve"> </w:t>
      </w:r>
      <w:r>
        <w:t xml:space="preserve">Quotation Estimate</w:t>
      </w:r>
      <w:r>
        <w:t xml:space="preserve"> </w:t>
      </w:r>
      <w:r>
        <w:t xml:space="preserve">engagement shall remain the property of the client. Our firm shall not disclose project details to third parties without written consent.</w:t>
      </w:r>
    </w:p>
    <w:p>
      <w:pPr>
        <w:numPr>
          <w:ilvl w:val="0"/>
          <w:numId w:val="1001"/>
        </w:numPr>
        <w:pStyle w:val="Compact"/>
      </w:pPr>
      <w:r>
        <w:t xml:space="preserve">Dispute resolution shall be governed by the laws of Japan and, if necessary, referred to the Japan Arbitration Association seated in Kyoto.</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agreement is executed by both parties. It serves solely as a cost projection and scope definition for the</w:t>
      </w:r>
      <w:r>
        <w:t xml:space="preserve"> </w:t>
      </w:r>
      <w:r>
        <w:t xml:space="preserve">Civil Engineer</w:t>
      </w:r>
      <w:r>
        <w:t xml:space="preserve"> </w:t>
      </w:r>
      <w:r>
        <w:t xml:space="preserve">services described herein.</w:t>
      </w:r>
    </w:p>
    <w:p>
      <w:pPr>
        <w:pStyle w:val="FirstParagraph"/>
      </w:pPr>
      <w:r>
        <w:t xml:space="preserve">6. Acceptance &amp; Authorisation</w:t>
      </w:r>
    </w:p>
    <w:bookmarkStart w:id="24" w:name="prepared-by-civil-engineer-of-record"/>
    <w:p>
      <w:pPr>
        <w:pStyle w:val="Heading4"/>
      </w:pPr>
      <w:r>
        <w:t xml:space="preserve">Prepared by (Civil Engineer of Record)</w:t>
      </w:r>
    </w:p>
    <w:p>
      <w:pPr>
        <w:pStyle w:val="FirstParagraph"/>
      </w:pPr>
      <w:r>
        <w:t xml:space="preserve">Name: Sato Kenji, RCE No. 4471</w:t>
      </w:r>
    </w:p>
    <w:p>
      <w:pPr>
        <w:pStyle w:val="BodyText"/>
      </w:pPr>
      <w:r>
        <w:t xml:space="preserve">Kyoto Infrastructure Engineering Co., Ltd.</w:t>
      </w:r>
    </w:p>
    <w:p>
      <w:pPr>
        <w:pStyle w:val="BodyText"/>
      </w:pPr>
      <w:r>
        <w:t xml:space="preserve">Signature &amp; Company Seal</w:t>
      </w:r>
    </w:p>
    <w:p>
      <w:pPr>
        <w:pStyle w:val="BodyText"/>
      </w:pPr>
      <w:r>
        <w:t xml:space="preserve">Date: _______________</w:t>
      </w:r>
    </w:p>
    <w:bookmarkEnd w:id="24"/>
    <w:bookmarkStart w:id="25" w:name="accepted-by-client-representative"/>
    <w:p>
      <w:pPr>
        <w:pStyle w:val="Heading4"/>
      </w:pPr>
      <w:r>
        <w:t xml:space="preserve">Accepted by (Client Representative)</w:t>
      </w:r>
    </w:p>
    <w:p>
      <w:pPr>
        <w:pStyle w:val="FirstParagraph"/>
      </w:pPr>
      <w:r>
        <w:t xml:space="preserve">Name: Tanaka Hiroshi</w:t>
      </w:r>
    </w:p>
    <w:p>
      <w:pPr>
        <w:pStyle w:val="BodyText"/>
      </w:pPr>
      <w:r>
        <w:t xml:space="preserve">Kyoto Municipal Public Works Department</w:t>
      </w:r>
    </w:p>
    <w:p>
      <w:pPr>
        <w:pStyle w:val="BodyText"/>
      </w:pPr>
      <w:r>
        <w:t xml:space="preserve">Signature &amp; Company Seal</w:t>
      </w:r>
    </w:p>
    <w:p>
      <w:pPr>
        <w:pStyle w:val="BodyText"/>
      </w:pPr>
      <w:r>
        <w:t xml:space="preserve">Date: _______________</w:t>
      </w:r>
    </w:p>
    <w:bookmarkEnd w:id="25"/>
    <w:p>
      <w:pPr>
        <w:pStyle w:val="BodyText"/>
      </w:pPr>
      <w:r>
        <w:t xml:space="preserve">This Quotation Estimate (Ref. QE-KYO-2025-0347) was prepared exclusively for the Kyoto Municipal Public Works Department for the Riverside Drainage &amp; Retaining Wall Rehabilitation project in Japan Kyoto. All figures are in Japanese Yen (JPY) unless otherwise stated. For clarification or amendment requests, please contact the undersigned Civil Engineer within the validity period of this document.</w:t>
      </w:r>
    </w:p>
    <w:p>
      <w:pPr>
        <w:pStyle w:val="BodyText"/>
      </w:pPr>
      <w:r>
        <w:t xml:space="preserve">© 2025 Kyoto Infrastructure Engineering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Japan Kyoto</dc:title>
  <dc:creator/>
  <dc:language>en</dc:language>
  <cp:keywords/>
  <dcterms:created xsi:type="dcterms:W3CDTF">2026-10-10T04:09:23Z</dcterms:created>
  <dcterms:modified xsi:type="dcterms:W3CDTF">2026-10-10T04:09:23Z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