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Civil Engineer Services — Myanmar Yangon</w:t>
      </w:r>
    </w:p>
    <w:bookmarkEnd w:id="20"/>
    <w:p>
      <w:pPr>
        <w:pStyle w:val="BodyText"/>
      </w:pPr>
      <w:r>
        <w:rPr>
          <w:bCs/>
          <w:b/>
        </w:rPr>
        <w:t xml:space="preserve">Yangon Structural &amp; Civil Engineering Co., Ltd.</w:t>
      </w:r>
      <w:r>
        <w:br/>
      </w:r>
      <w:r>
        <w:t xml:space="preserve">No. 45, 27th Street, Kamayut Township</w:t>
      </w:r>
      <w:r>
        <w:br/>
      </w:r>
      <w:r>
        <w:t xml:space="preserve">Yangon, Myanmar 11151</w:t>
      </w:r>
      <w:r>
        <w:br/>
      </w:r>
      <w:r>
        <w:t xml:space="preserve">Tel: +95-9-795-123-456</w:t>
      </w:r>
      <w:r>
        <w:br/>
      </w:r>
      <w:r>
        <w:t xml:space="preserve">Email: info@ysce-myanmar.com</w:t>
      </w:r>
    </w:p>
    <w:p>
      <w:pPr>
        <w:pStyle w:val="BodyText"/>
      </w:pPr>
      <w:r>
        <w:rPr>
          <w:bCs/>
          <w:b/>
        </w:rPr>
        <w:t xml:space="preserve">Quotation No.:</w:t>
      </w:r>
      <w:r>
        <w:t xml:space="preserve"> </w:t>
      </w:r>
      <w:r>
        <w:t xml:space="preserve">YSC-2025-QE-0472</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U Aung Kyaw Min, P.Eng.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Myanmar Yangon Development Authority (MYDA)</w:t>
            </w:r>
          </w:p>
        </w:tc>
      </w:tr>
      <w:tr>
        <w:tc>
          <w:tcPr/>
          <w:p>
            <w:pPr>
              <w:pStyle w:val="Compact"/>
              <w:jc w:val="left"/>
            </w:pPr>
            <w:r>
              <w:t xml:space="preserve">Project Location</w:t>
            </w:r>
          </w:p>
        </w:tc>
        <w:tc>
          <w:tcPr/>
          <w:p>
            <w:pPr>
              <w:pStyle w:val="Compact"/>
              <w:jc w:val="left"/>
            </w:pPr>
            <w:r>
              <w:t xml:space="preserve">Shwe Thalyi Zone, Yangon, Myanmar</w:t>
            </w:r>
          </w:p>
        </w:tc>
      </w:tr>
      <w:tr>
        <w:tc>
          <w:tcPr/>
          <w:p>
            <w:pPr>
              <w:pStyle w:val="Compact"/>
              <w:jc w:val="left"/>
            </w:pPr>
            <w:r>
              <w:t xml:space="preserve">Project Title</w:t>
            </w:r>
          </w:p>
        </w:tc>
        <w:tc>
          <w:tcPr/>
          <w:p>
            <w:pPr>
              <w:pStyle w:val="Compact"/>
              <w:jc w:val="left"/>
            </w:pPr>
            <w:r>
              <w:t xml:space="preserve">Residential Complex Structural Design &amp; Supervision — Phase II</w:t>
            </w:r>
          </w:p>
        </w:tc>
      </w:tr>
      <w:tr>
        <w:tc>
          <w:tcPr/>
          <w:p>
            <w:pPr>
              <w:pStyle w:val="Compact"/>
              <w:jc w:val="left"/>
            </w:pPr>
            <w:r>
              <w:t xml:space="preserve">Service Category</w:t>
            </w:r>
          </w:p>
        </w:tc>
        <w:tc>
          <w:tcPr/>
          <w:p>
            <w:pPr>
              <w:pStyle w:val="Compact"/>
              <w:jc w:val="left"/>
            </w:pPr>
            <w:r>
              <w:t xml:space="preserve">Civil Engineer Consultancy &amp; On-Site Supervision</w:t>
            </w:r>
          </w:p>
        </w:tc>
      </w:tr>
      <w:tr>
        <w:tc>
          <w:tcPr/>
          <w:p>
            <w:pPr>
              <w:pStyle w:val="Compact"/>
              <w:jc w:val="left"/>
            </w:pPr>
            <w:r>
              <w:t xml:space="preserve">Estimated Duration</w:t>
            </w:r>
          </w:p>
        </w:tc>
        <w:tc>
          <w:tcPr/>
          <w:p>
            <w:pPr>
              <w:pStyle w:val="Compact"/>
              <w:jc w:val="left"/>
            </w:pPr>
            <w:r>
              <w:t xml:space="preserve">14 months (Design: 4 months / Construction Supervision: 10 months)</w:t>
            </w:r>
          </w:p>
        </w:tc>
      </w:tr>
    </w:tbl>
    <w:bookmarkStart w:id="21" w:name="X777175eb7f3f7b4ae90edc5b60aad7f74438a59"/>
    <w:p>
      <w:pPr>
        <w:pStyle w:val="Heading2"/>
      </w:pPr>
      <w:r>
        <w:t xml:space="preserve">1. Scope of Work — Civil Engineer Services in Myanmar Yangon</w:t>
      </w:r>
    </w:p>
    <w:p>
      <w:pPr>
        <w:pStyle w:val="FirstParagraph"/>
      </w:pPr>
      <w:r>
        <w:t xml:space="preserve">This</w:t>
      </w:r>
      <w:r>
        <w:t xml:space="preserve"> </w:t>
      </w:r>
      <w:r>
        <w:t xml:space="preserve">Quotation Estimate</w:t>
      </w:r>
      <w:r>
        <w:t xml:space="preserve"> </w:t>
      </w:r>
      <w:r>
        <w:t xml:space="preserve">is issued by Yangon Structural &amp; Civil Engineering Co., Ltd. to provide a comprehensive breakdown of professional</w:t>
      </w:r>
      <w:r>
        <w:t xml:space="preserve"> </w:t>
      </w:r>
      <w:r>
        <w:t xml:space="preserve">Civil Engineer</w:t>
      </w:r>
      <w:r>
        <w:t xml:space="preserve"> </w:t>
      </w:r>
      <w:r>
        <w:t xml:space="preserve">services to be delivered for the above-referenced project located in</w:t>
      </w:r>
      <w:r>
        <w:t xml:space="preserve"> </w:t>
      </w:r>
      <w:r>
        <w:t xml:space="preserve">Myanmar Yangon</w:t>
      </w:r>
      <w:r>
        <w:t xml:space="preserve">. The scope encompasses all structural design, geotechnical assessment, construction supervision, and regulatory compliance activities required under the Myanmar Building Code and the Yangon City Development Committee (YCDC) regulations.</w:t>
      </w:r>
    </w:p>
    <w:p>
      <w:pPr>
        <w:numPr>
          <w:ilvl w:val="0"/>
          <w:numId w:val="1001"/>
        </w:numPr>
        <w:pStyle w:val="Compact"/>
      </w:pPr>
      <w:r>
        <w:rPr>
          <w:bCs/>
          <w:b/>
        </w:rPr>
        <w:t xml:space="preserve">Geotechnical Investigation:</w:t>
      </w:r>
      <w:r>
        <w:t xml:space="preserve"> </w:t>
      </w:r>
      <w:r>
        <w:t xml:space="preserve">Soil sampling and borehole analysis at the Myanmar Yangon site to determine bearing capacity, groundwater levels, and seismic parameters in accordance with Myanmar's national seismic design provisions.</w:t>
      </w:r>
    </w:p>
    <w:p>
      <w:pPr>
        <w:numPr>
          <w:ilvl w:val="0"/>
          <w:numId w:val="1001"/>
        </w:numPr>
        <w:pStyle w:val="Compact"/>
      </w:pPr>
      <w:r>
        <w:rPr>
          <w:bCs/>
          <w:b/>
        </w:rPr>
        <w:t xml:space="preserve">Structural Design:</w:t>
      </w:r>
      <w:r>
        <w:t xml:space="preserve"> </w:t>
      </w:r>
      <w:r>
        <w:t xml:space="preserve">Complete structural design of a 12-storey residential building including foundation, columns, beams, slabs, staircases, and lift cores. All designs shall comply with the Myanmar National Building Code (MNBC) 2018 and applicable YCDC zoning requirements.</w:t>
      </w:r>
    </w:p>
    <w:p>
      <w:pPr>
        <w:numPr>
          <w:ilvl w:val="0"/>
          <w:numId w:val="1001"/>
        </w:numPr>
        <w:pStyle w:val="Compact"/>
      </w:pPr>
      <w:r>
        <w:rPr>
          <w:bCs/>
          <w:b/>
        </w:rPr>
        <w:t xml:space="preserve">Quantity Surveying &amp; Cost Estimation:</w:t>
      </w:r>
      <w:r>
        <w:t xml:space="preserve"> </w:t>
      </w:r>
      <w:r>
        <w:t xml:space="preserve">Detailed bill of quantities (BOQ) for all structural elements, including reinforced concrete, structural steel, and masonry works specific to the Myanmar Yangon construction market.</w:t>
      </w:r>
    </w:p>
    <w:p>
      <w:pPr>
        <w:numPr>
          <w:ilvl w:val="0"/>
          <w:numId w:val="1001"/>
        </w:numPr>
        <w:pStyle w:val="Compact"/>
      </w:pPr>
      <w:r>
        <w:rPr>
          <w:bCs/>
          <w:b/>
        </w:rPr>
        <w:t xml:space="preserve">Construction Supervision:</w:t>
      </w:r>
      <w:r>
        <w:t xml:space="preserve"> </w:t>
      </w:r>
      <w:r>
        <w:t xml:space="preserve">Full-time on-site supervision by a licensed Civil Engineer for the entire 10-month construction period, including daily progress reports, material inspection, and quality assurance audits.</w:t>
      </w:r>
    </w:p>
    <w:p>
      <w:pPr>
        <w:numPr>
          <w:ilvl w:val="0"/>
          <w:numId w:val="1001"/>
        </w:numPr>
        <w:pStyle w:val="Compact"/>
      </w:pPr>
      <w:r>
        <w:rPr>
          <w:bCs/>
          <w:b/>
        </w:rPr>
        <w:t xml:space="preserve">Regulatory Submissions:</w:t>
      </w:r>
      <w:r>
        <w:t xml:space="preserve"> </w:t>
      </w:r>
      <w:r>
        <w:t xml:space="preserve">Preparation and submission of all structural drawings and calculations to the YCDC and Myanmar Ministry of Construction for approval and permit issuance.</w:t>
      </w:r>
    </w:p>
    <w:p>
      <w:pPr>
        <w:numPr>
          <w:ilvl w:val="0"/>
          <w:numId w:val="1001"/>
        </w:numPr>
        <w:pStyle w:val="Compact"/>
      </w:pPr>
      <w:r>
        <w:rPr>
          <w:bCs/>
          <w:b/>
        </w:rPr>
        <w:t xml:space="preserve">As-Built Documentation:</w:t>
      </w:r>
      <w:r>
        <w:t xml:space="preserve"> </w:t>
      </w:r>
      <w:r>
        <w:t xml:space="preserve">Compilation of final as-built drawings, test reports, and completion certificates upon project handover.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Geotechnical investigation &amp; soil report preparation (Myanmar Yangon site)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Structural design &amp; calculation (12-storey RC building)</w:t>
            </w:r>
          </w:p>
        </w:tc>
        <w:tc>
          <w:tcPr/>
          <w:p>
            <w:pPr>
              <w:pStyle w:val="Compact"/>
              <w:jc w:val="left"/>
            </w:pPr>
            <w:r>
              <w:t xml:space="preserve">4 Months</w:t>
            </w:r>
          </w:p>
        </w:tc>
        <w:tc>
          <w:tcPr/>
          <w:p>
            <w:pPr>
              <w:pStyle w:val="Compact"/>
              <w:jc w:val="left"/>
            </w:pPr>
            <w:r>
              <w:t xml:space="preserve">18,000,000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Bill of Quantities &amp; detailed cost estimation</w:t>
            </w:r>
          </w:p>
        </w:tc>
        <w:tc>
          <w:tcPr/>
          <w:p>
            <w:pPr>
              <w:pStyle w:val="Compact"/>
              <w:jc w:val="left"/>
            </w:pPr>
            <w:r>
              <w:t xml:space="preserve">1 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On-site Civil Engineer supervision (full-time, 5 days/week)</w:t>
            </w:r>
          </w:p>
        </w:tc>
        <w:tc>
          <w:tcPr/>
          <w:p>
            <w:pPr>
              <w:pStyle w:val="Compact"/>
              <w:jc w:val="left"/>
            </w:pPr>
            <w:r>
              <w:t xml:space="preserve">10 Months</w:t>
            </w:r>
          </w:p>
        </w:tc>
        <w:tc>
          <w:tcPr/>
          <w:p>
            <w:pPr>
              <w:pStyle w:val="Compact"/>
              <w:jc w:val="left"/>
            </w:pPr>
            <w:r>
              <w:t xml:space="preserve">12,000,000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YCDC &amp; Ministry of Construction permit submissions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Material testing coordination (concrete, steel, soil)</w:t>
            </w:r>
          </w:p>
        </w:tc>
        <w:tc>
          <w:tcPr/>
          <w:p>
            <w:pPr>
              <w:pStyle w:val="Compact"/>
              <w:jc w:val="left"/>
            </w:pPr>
            <w:r>
              <w:t xml:space="preserve">10 Months</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7</w:t>
            </w:r>
          </w:p>
        </w:tc>
        <w:tc>
          <w:tcPr/>
          <w:p>
            <w:pPr>
              <w:pStyle w:val="Compact"/>
              <w:jc w:val="left"/>
            </w:pPr>
            <w:r>
              <w:t xml:space="preserve">As-built documentation &amp; final completion report</w:t>
            </w:r>
          </w:p>
        </w:tc>
        <w:tc>
          <w:tcPr/>
          <w:p>
            <w:pPr>
              <w:pStyle w:val="Compact"/>
              <w:jc w:val="left"/>
            </w:pPr>
            <w:r>
              <w:t xml:space="preserve">1 Lot</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8</w:t>
            </w:r>
          </w:p>
        </w:tc>
        <w:tc>
          <w:tcPr/>
          <w:p>
            <w:pPr>
              <w:pStyle w:val="Compact"/>
              <w:jc w:val="left"/>
            </w:pPr>
            <w:r>
              <w:t xml:space="preserve">Travel, accommodation &amp; site logistics within Myanmar Yangon</w:t>
            </w:r>
          </w:p>
        </w:tc>
        <w:tc>
          <w:tcPr/>
          <w:p>
            <w:pPr>
              <w:pStyle w:val="Compact"/>
              <w:jc w:val="left"/>
            </w:pPr>
            <w:r>
              <w:t xml:space="preserve">14 Months</w:t>
            </w:r>
          </w:p>
        </w:tc>
        <w:tc>
          <w:tcPr/>
          <w:p>
            <w:pPr>
              <w:pStyle w:val="Compact"/>
              <w:jc w:val="left"/>
            </w:pPr>
            <w:r>
              <w:t xml:space="preserve">1,500,000</w:t>
            </w:r>
          </w:p>
        </w:tc>
        <w:tc>
          <w:tcPr/>
          <w:p>
            <w:pPr>
              <w:pStyle w:val="Compact"/>
              <w:jc w:val="left"/>
            </w:pPr>
            <w:r>
              <w:t xml:space="preserve">21,000,000</w:t>
            </w:r>
          </w:p>
        </w:tc>
      </w:tr>
      <w:tr>
        <w:tc>
          <w:tcPr>
            <w:gridSpan w:val="4"/>
          </w:tcPr>
          <w:p>
            <w:pPr>
              <w:pStyle w:val="Compact"/>
              <w:jc w:val="right"/>
            </w:pPr>
            <w:r>
              <w:t xml:space="preserve">Subtotal</w:t>
            </w:r>
          </w:p>
        </w:tc>
        <w:tc>
          <w:tcPr/>
          <w:p>
            <w:pPr>
              <w:pStyle w:val="Compact"/>
              <w:jc w:val="left"/>
            </w:pPr>
            <w:r>
              <w:t xml:space="preserve">259,200,000</w:t>
            </w:r>
          </w:p>
        </w:tc>
      </w:tr>
      <w:tr>
        <w:tc>
          <w:tcPr>
            <w:gridSpan w:val="4"/>
          </w:tcPr>
          <w:p>
            <w:pPr>
              <w:pStyle w:val="Compact"/>
              <w:jc w:val="right"/>
            </w:pPr>
            <w:r>
              <w:t xml:space="preserve">VAT (5% — Myanmar Standard Rate)</w:t>
            </w:r>
          </w:p>
        </w:tc>
        <w:tc>
          <w:tcPr/>
          <w:p>
            <w:pPr>
              <w:pStyle w:val="Compact"/>
              <w:jc w:val="left"/>
            </w:pPr>
            <w:r>
              <w:t xml:space="preserve">12,960,000</w:t>
            </w:r>
          </w:p>
        </w:tc>
      </w:tr>
      <w:tr>
        <w:tc>
          <w:tcPr>
            <w:gridSpan w:val="4"/>
          </w:tcPr>
          <w:p>
            <w:pPr>
              <w:pStyle w:val="Compact"/>
              <w:jc w:val="right"/>
            </w:pPr>
            <w:r>
              <w:t xml:space="preserve">TOTAL AMOUNT (MMK)</w:t>
            </w:r>
          </w:p>
        </w:tc>
        <w:tc>
          <w:tcPr/>
          <w:p>
            <w:pPr>
              <w:pStyle w:val="Compact"/>
              <w:jc w:val="left"/>
            </w:pPr>
            <w:r>
              <w:t xml:space="preserve">272,160,000</w:t>
            </w:r>
          </w:p>
        </w:tc>
      </w:tr>
    </w:tbl>
    <w:p>
      <w:pPr>
        <w:pStyle w:val="BodyText"/>
      </w:pPr>
      <w:r>
        <w:t xml:space="preserve">All amounts are quoted in Myanmar Kyat (MMK). Exchange rate reference: 1 USD ≈ 5,000 MMK (as of June 2025, Central Bank of Myanmar).</w:t>
      </w:r>
    </w:p>
    <w:bookmarkEnd w:id="22"/>
    <w:bookmarkStart w:id="23" w:name="payment-terms"/>
    <w:p>
      <w:pPr>
        <w:pStyle w:val="Heading2"/>
      </w:pPr>
      <w:r>
        <w:t xml:space="preserve">3. Payment Terms</w:t>
      </w:r>
    </w:p>
    <w:p>
      <w:pPr>
        <w:numPr>
          <w:ilvl w:val="0"/>
          <w:numId w:val="1002"/>
        </w:numPr>
        <w:pStyle w:val="Compact"/>
      </w:pPr>
      <w:r>
        <w:rPr>
          <w:bCs/>
          <w:b/>
        </w:rPr>
        <w:t xml:space="preserve">Advance Payment (20%):</w:t>
      </w:r>
      <w:r>
        <w:t xml:space="preserve"> </w:t>
      </w:r>
      <w:r>
        <w:t xml:space="preserve">MMK 54,432,000 — Payable within 14 working days of signed acceptance of this Quotation Estimate.</w:t>
      </w:r>
    </w:p>
    <w:p>
      <w:pPr>
        <w:numPr>
          <w:ilvl w:val="0"/>
          <w:numId w:val="1002"/>
        </w:numPr>
        <w:pStyle w:val="Compact"/>
      </w:pPr>
      <w:r>
        <w:rPr>
          <w:bCs/>
          <w:b/>
        </w:rPr>
        <w:t xml:space="preserve">Design Milestone (25%):</w:t>
      </w:r>
      <w:r>
        <w:t xml:space="preserve"> </w:t>
      </w:r>
      <w:r>
        <w:t xml:space="preserve">MMK 68,040,000 — Payable upon submission and YCDC approval of all structural drawings.</w:t>
      </w:r>
    </w:p>
    <w:p>
      <w:pPr>
        <w:numPr>
          <w:ilvl w:val="0"/>
          <w:numId w:val="1002"/>
        </w:numPr>
        <w:pStyle w:val="Compact"/>
      </w:pPr>
      <w:r>
        <w:rPr>
          <w:bCs/>
          <w:b/>
        </w:rPr>
        <w:t xml:space="preserve">Construction Supervision (45%):</w:t>
      </w:r>
      <w:r>
        <w:t xml:space="preserve"> </w:t>
      </w:r>
      <w:r>
        <w:t xml:space="preserve">MMK 122,472,000 — Payable in 10 equal monthly instalments of MMK 12,247,200 during the construction phase.</w:t>
      </w:r>
    </w:p>
    <w:p>
      <w:pPr>
        <w:numPr>
          <w:ilvl w:val="0"/>
          <w:numId w:val="1002"/>
        </w:numPr>
        <w:pStyle w:val="Compact"/>
      </w:pPr>
      <w:r>
        <w:rPr>
          <w:bCs/>
          <w:b/>
        </w:rPr>
        <w:t xml:space="preserve">Completion &amp; Handover (10%):</w:t>
      </w:r>
      <w:r>
        <w:t xml:space="preserve"> </w:t>
      </w:r>
      <w:r>
        <w:t xml:space="preserve">MMK 27,216,000 — Payable upon delivery of as-built documentation and final completion certificate.</w:t>
      </w:r>
    </w:p>
    <w:bookmarkEnd w:id="23"/>
    <w:bookmarkStart w:id="24" w:name="terms-conditions"/>
    <w:p>
      <w:pPr>
        <w:pStyle w:val="Heading2"/>
      </w:pPr>
      <w:r>
        <w:t xml:space="preserve">4. Terms &amp; Conditions</w:t>
      </w:r>
    </w:p>
    <w:p>
      <w:pPr>
        <w:numPr>
          <w:ilvl w:val="0"/>
          <w:numId w:val="1003"/>
        </w:numPr>
        <w:pStyle w:val="Compact"/>
      </w:pPr>
      <w:r>
        <w:t xml:space="preserve">This Quotation Estimate is valid for 30 calendar days from the date of issue. Beyond this period, rates may be revised to reflect changes in the Myanmar Yangon construction market, material costs, or exchange rate fluctuations.</w:t>
      </w:r>
    </w:p>
    <w:p>
      <w:pPr>
        <w:numPr>
          <w:ilvl w:val="0"/>
          <w:numId w:val="1003"/>
        </w:numPr>
        <w:pStyle w:val="Compact"/>
      </w:pPr>
      <w:r>
        <w:t xml:space="preserve">All Civil Engineer services shall be performed in strict compliance with the Myanmar National Building Code, YCDC regulations, and the Myanmar Environmental Impact Assessment (EIA) requirements applicable to the Shwe Thalyi Zone.</w:t>
      </w:r>
    </w:p>
    <w:p>
      <w:pPr>
        <w:numPr>
          <w:ilvl w:val="0"/>
          <w:numId w:val="1003"/>
        </w:numPr>
        <w:pStyle w:val="Compact"/>
      </w:pPr>
      <w:r>
        <w:t xml:space="preserve">The appointed Civil Engineer shall hold a valid Myanmar Professional Engineers Council (MPEC) licence and shall maintain professional indemnity insurance of no less than MMK 500,000,000 for the duration of the project.</w:t>
      </w:r>
    </w:p>
    <w:p>
      <w:pPr>
        <w:numPr>
          <w:ilvl w:val="0"/>
          <w:numId w:val="1003"/>
        </w:numPr>
        <w:pStyle w:val="Compact"/>
      </w:pPr>
      <w:r>
        <w:t xml:space="preserve">Any variation in scope exceeding 10% of the original Quotation Estimate value shall require a written variation order signed by both parties before additional work commences.</w:t>
      </w:r>
    </w:p>
    <w:p>
      <w:pPr>
        <w:numPr>
          <w:ilvl w:val="0"/>
          <w:numId w:val="1003"/>
        </w:numPr>
        <w:pStyle w:val="Compact"/>
      </w:pPr>
      <w:r>
        <w:t xml:space="preserve">Force majeure events, including but not limited to natural disasters common to the Myanmar Yangon region (cyclones, flooding, seismic activity), shall extend the project timeline proportionally without penalty to either party.</w:t>
      </w:r>
    </w:p>
    <w:p>
      <w:pPr>
        <w:numPr>
          <w:ilvl w:val="0"/>
          <w:numId w:val="1003"/>
        </w:numPr>
        <w:pStyle w:val="Compact"/>
      </w:pPr>
      <w:r>
        <w:t xml:space="preserve">All intellectual property, drawings, and reports produced under this engagement shall become the property of the client upon full payment.</w:t>
      </w:r>
    </w:p>
    <w:p>
      <w:pPr>
        <w:numPr>
          <w:ilvl w:val="0"/>
          <w:numId w:val="1003"/>
        </w:numPr>
        <w:pStyle w:val="Compact"/>
      </w:pPr>
      <w:r>
        <w:t xml:space="preserve">Disputes arising from this Quotation Estimate shall be resolved through mediation under the Myanmar Arbitration Law, with the seat of arbitration in Yangon, Myanmar.</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 Civil Engineer services in Myanmar Yangon. The engagement shall commence upon receipt of the advance payment and execution of the formal Service Agreement.</w:t>
      </w:r>
    </w:p>
    <w:p>
      <w:pPr>
        <w:pStyle w:val="BodyText"/>
      </w:pPr>
      <w:r>
        <w:rPr>
          <w:bCs/>
          <w:b/>
        </w:rPr>
        <w:t xml:space="preserve">For: Yangon Structural &amp; Civil Engineering Co., Ltd.</w:t>
      </w:r>
      <w:r>
        <w:br/>
      </w:r>
      <w:r>
        <w:t xml:space="preserve">Name: U Aung Kyaw Min, P.Eng.</w:t>
      </w:r>
      <w:r>
        <w:br/>
      </w:r>
      <w:r>
        <w:t xml:space="preserve">Designation: Lead Civil Engineer / Director</w:t>
      </w:r>
      <w:r>
        <w:br/>
      </w:r>
      <w:r>
        <w:t xml:space="preserve">Signature &amp; Company Stamp: _________________________</w:t>
      </w:r>
      <w:r>
        <w:br/>
      </w:r>
      <w:r>
        <w:t xml:space="preserve">Date: _______________</w:t>
      </w:r>
    </w:p>
    <w:p>
      <w:pPr>
        <w:pStyle w:val="BodyText"/>
      </w:pPr>
      <w:r>
        <w:rPr>
          <w:bCs/>
          <w:b/>
        </w:rPr>
        <w:t xml:space="preserve">For: Myanmar Yangon Development Authority (MYDA)</w:t>
      </w:r>
      <w:r>
        <w:br/>
      </w:r>
      <w:r>
        <w:t xml:space="preserve">Name: _________________________</w:t>
      </w:r>
      <w:r>
        <w:br/>
      </w:r>
      <w:r>
        <w:t xml:space="preserve">Designation: Project Director</w:t>
      </w:r>
      <w:r>
        <w:br/>
      </w:r>
      <w:r>
        <w:t xml:space="preserve">Signature &amp; Company Stamp: _________________________</w:t>
      </w:r>
      <w:r>
        <w:br/>
      </w:r>
      <w:r>
        <w:t xml:space="preserve">Date: _______________</w:t>
      </w:r>
    </w:p>
    <w:p>
      <w:pPr>
        <w:pStyle w:val="BodyText"/>
      </w:pPr>
      <w:r>
        <w:rPr>
          <w:bCs/>
          <w:b/>
        </w:rPr>
        <w:t xml:space="preserve">Important Notice:</w:t>
      </w:r>
      <w:r>
        <w:t xml:space="preserve"> </w:t>
      </w:r>
      <w:r>
        <w:t xml:space="preserve">This Quotation Estimate is a non-binding document until formally accepted in writing by both parties. All Civil Engineer services described herein are subject to the final Service Agreement. Yangon Structural &amp; Civil Engineering Co., Ltd. reserves the right to revise this estimate in the event of material changes to project scope, Myanmar Yangon regulatory requirements, or market conditions. For inquiries, please contact our office at No. 45, 27th Street, Kamayut Township, Yangon, Myanmar.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Myanmar Yangon</dc:title>
  <dc:creator/>
  <dc:language>en</dc:language>
  <cp:keywords/>
  <dcterms:created xsi:type="dcterms:W3CDTF">2026-10-10T01:15:21Z</dcterms:created>
  <dcterms:modified xsi:type="dcterms:W3CDTF">2026-10-10T01:15:21Z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