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quotation-estimate"/>
    <w:p>
      <w:pPr>
        <w:pStyle w:val="Heading1"/>
      </w:pPr>
      <w:r>
        <w:t xml:space="preserve">Quotation Estimate</w:t>
      </w:r>
    </w:p>
    <w:p>
      <w:pPr>
        <w:pStyle w:val="FirstParagraph"/>
      </w:pPr>
      <w:r>
        <w:t xml:space="preserve">Civil Engineering Services — New Zealand Wellington</w:t>
      </w:r>
    </w:p>
    <w:p>
      <w:pPr>
        <w:pStyle w:val="BodyText"/>
      </w:pPr>
      <w:r>
        <w:t xml:space="preserve">Ref: QE-CIV-WLG-2025-0472 | Date Issued: 14 June 2025</w:t>
      </w:r>
    </w:p>
    <w:bookmarkEnd w:id="20"/>
    <w:p>
      <w:pPr>
        <w:pStyle w:val="BodyText"/>
      </w:pPr>
      <w:r>
        <w:rPr>
          <w:bCs/>
          <w:b/>
        </w:rPr>
        <w:t xml:space="preserve">Prepared By:</w:t>
      </w:r>
      <w:r>
        <w:br/>
      </w:r>
      <w:r>
        <w:t xml:space="preserve">Wellington Civil Engineering Ltd</w:t>
      </w:r>
      <w:r>
        <w:br/>
      </w:r>
      <w:r>
        <w:t xml:space="preserve">148 Cuba Street, Te Aro</w:t>
      </w:r>
      <w:r>
        <w:br/>
      </w:r>
      <w:r>
        <w:t xml:space="preserve">Wellington 6011, New Zealand</w:t>
      </w:r>
      <w:r>
        <w:br/>
      </w:r>
      <w:r>
        <w:t xml:space="preserve">Phone: +64 4 472 8830</w:t>
      </w:r>
      <w:r>
        <w:br/>
      </w:r>
      <w:r>
        <w:t xml:space="preserve">Email: quotes@wce.co.nz</w:t>
      </w:r>
      <w:r>
        <w:br/>
      </w:r>
      <w:r>
        <w:t xml:space="preserve">NZBN: 942904123456789</w:t>
      </w:r>
    </w:p>
    <w:p>
      <w:pPr>
        <w:pStyle w:val="BodyText"/>
      </w:pPr>
      <w:r>
        <w:rPr>
          <w:bCs/>
          <w:b/>
        </w:rPr>
        <w:t xml:space="preserve">Prepared For:</w:t>
      </w:r>
      <w:r>
        <w:br/>
      </w:r>
      <w:r>
        <w:t xml:space="preserve">Wellington City Council</w:t>
      </w:r>
      <w:r>
        <w:br/>
      </w:r>
      <w:r>
        <w:t xml:space="preserve">201 Featherston Street</w:t>
      </w:r>
      <w:r>
        <w:br/>
      </w:r>
      <w:r>
        <w:t xml:space="preserve">Wellington 6011, New Zealand</w:t>
      </w:r>
      <w:r>
        <w:br/>
      </w:r>
      <w:r>
        <w:t xml:space="preserve">Attn: Mr. David Tui, Senior Project Manager</w:t>
      </w:r>
      <w:r>
        <w:br/>
      </w:r>
      <w:r>
        <w:t xml:space="preserve">Contact: +64 4 497 0199</w:t>
      </w:r>
    </w:p>
    <w:p>
      <w:pPr>
        <w:pStyle w:val="BodyText"/>
      </w:pPr>
      <w:r>
        <w:t xml:space="preserve">1. Project Overview &amp; Scope of Work</w:t>
      </w:r>
    </w:p>
    <w:p>
      <w:pPr>
        <w:pStyle w:val="BodyText"/>
      </w:pPr>
      <w:r>
        <w:t xml:space="preserve">This</w:t>
      </w:r>
      <w:r>
        <w:t xml:space="preserve"> </w:t>
      </w:r>
      <w:r>
        <w:t xml:space="preserve">Quotation Estimate</w:t>
      </w:r>
      <w:r>
        <w:t xml:space="preserve"> </w:t>
      </w:r>
      <w:r>
        <w:t xml:space="preserve">is issued by Wellington Civil Engineering Ltd in response to the request for</w:t>
      </w:r>
      <w:r>
        <w:t xml:space="preserve"> </w:t>
      </w:r>
      <w:r>
        <w:t xml:space="preserve">Civil Engineer</w:t>
      </w:r>
      <w:r>
        <w:t xml:space="preserve"> </w:t>
      </w:r>
      <w:r>
        <w:t xml:space="preserve">professional services for the Te Aro Precinct Infrastructure Upgrade Project, located in the central business district of</w:t>
      </w:r>
      <w:r>
        <w:t xml:space="preserve"> </w:t>
      </w:r>
      <w:r>
        <w:t xml:space="preserve">New Zealand Wellington</w:t>
      </w:r>
      <w:r>
        <w:t xml:space="preserve">. The scope encompasses geotechnical assessment, structural design of retaining walls, stormwater drainage redesign, and road pavement rehabilitation across a 2.4-kilometre corridor along Cuba Street and its intersecting side streets.</w:t>
      </w:r>
    </w:p>
    <w:p>
      <w:pPr>
        <w:pStyle w:val="BodyText"/>
      </w:pPr>
      <w:r>
        <w:t xml:space="preserve">As the appointed</w:t>
      </w:r>
      <w:r>
        <w:t xml:space="preserve"> </w:t>
      </w:r>
      <w:r>
        <w:t xml:space="preserve">Civil Engineer</w:t>
      </w:r>
      <w:r>
        <w:t xml:space="preserve">, our firm will deliver all design documentation in compliance with the New Zealand Geotechnical Standards (NZGS), the Wellington City Council Development Code, and the Building Act 2004. All engineering calculations and design outputs will be prepared in accordance with NZS 3604, NZS 3606, and AS/NZS 1170 loading standards applicable to the Wellington region, including seismic design parameters for the local fault zone.</w:t>
      </w:r>
    </w:p>
    <w:p>
      <w:pPr>
        <w:pStyle w:val="BodyText"/>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Civil Engineering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Site investigation and geotechnical survey — borehole drilling (6 no. boreholes, 15 m depth each) and in-situ testing at the Te Aro Precinct, Wellington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Geotechnical report preparation and foundation design recommendations for retaining structures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12,200.00</w:t>
            </w:r>
          </w:p>
        </w:tc>
        <w:tc>
          <w:tcPr/>
          <w:p>
            <w:pPr>
              <w:pStyle w:val="Compact"/>
              <w:jc w:val="left"/>
            </w:pPr>
            <w:r>
              <w:t xml:space="preserve">12,200.00</w:t>
            </w:r>
          </w:p>
        </w:tc>
      </w:tr>
      <w:tr>
        <w:tc>
          <w:tcPr/>
          <w:p>
            <w:pPr>
              <w:pStyle w:val="Compact"/>
              <w:jc w:val="left"/>
            </w:pPr>
            <w:r>
              <w:t xml:space="preserve">3</w:t>
            </w:r>
          </w:p>
        </w:tc>
        <w:tc>
          <w:tcPr/>
          <w:p>
            <w:pPr>
              <w:pStyle w:val="Compact"/>
              <w:jc w:val="left"/>
            </w:pPr>
            <w:r>
              <w:t xml:space="preserve">Structural design of reinforced concrete retaining walls (approx. 340 linear metres) including seismic analysis per NZS 1170.5</w:t>
            </w:r>
          </w:p>
        </w:tc>
        <w:tc>
          <w:tcPr/>
          <w:p>
            <w:pPr>
              <w:pStyle w:val="Compact"/>
              <w:jc w:val="left"/>
            </w:pPr>
            <w:r>
              <w:t xml:space="preserve">lm</w:t>
            </w:r>
          </w:p>
        </w:tc>
        <w:tc>
          <w:tcPr/>
          <w:p>
            <w:pPr>
              <w:pStyle w:val="Compact"/>
              <w:jc w:val="left"/>
            </w:pPr>
            <w:r>
              <w:t xml:space="preserve">340</w:t>
            </w:r>
          </w:p>
        </w:tc>
        <w:tc>
          <w:tcPr/>
          <w:p>
            <w:pPr>
              <w:pStyle w:val="Compact"/>
              <w:jc w:val="left"/>
            </w:pPr>
            <w:r>
              <w:t xml:space="preserve">86.00</w:t>
            </w:r>
          </w:p>
        </w:tc>
        <w:tc>
          <w:tcPr/>
          <w:p>
            <w:pPr>
              <w:pStyle w:val="Compact"/>
              <w:jc w:val="left"/>
            </w:pPr>
            <w:r>
              <w:t xml:space="preserve">29,240.00</w:t>
            </w:r>
          </w:p>
        </w:tc>
      </w:tr>
      <w:tr>
        <w:tc>
          <w:tcPr/>
          <w:p>
            <w:pPr>
              <w:pStyle w:val="Compact"/>
              <w:jc w:val="left"/>
            </w:pPr>
            <w:r>
              <w:t xml:space="preserve">4</w:t>
            </w:r>
          </w:p>
        </w:tc>
        <w:tc>
          <w:tcPr/>
          <w:p>
            <w:pPr>
              <w:pStyle w:val="Compact"/>
              <w:jc w:val="left"/>
            </w:pPr>
            <w:r>
              <w:t xml:space="preserve">Stormwater drainage network redesign — hydraulic modelling, pipe sizing, and outlet design for the 2.4 km corridor</w:t>
            </w:r>
          </w:p>
        </w:tc>
        <w:tc>
          <w:tcPr/>
          <w:p>
            <w:pPr>
              <w:pStyle w:val="Compact"/>
              <w:jc w:val="left"/>
            </w:pPr>
            <w:r>
              <w:t xml:space="preserve">Lot</w:t>
            </w:r>
          </w:p>
        </w:tc>
        <w:tc>
          <w:tcPr/>
          <w:p>
            <w:pPr>
              <w:pStyle w:val="Compact"/>
              <w:jc w:val="left"/>
            </w:pPr>
            <w:r>
              <w:t xml:space="preserve">1</w:t>
            </w:r>
          </w:p>
        </w:tc>
        <w:tc>
          <w:tcPr/>
          <w:p>
            <w:pPr>
              <w:pStyle w:val="Compact"/>
              <w:jc w:val="left"/>
            </w:pPr>
            <w:r>
              <w:t xml:space="preserve">24,800.00</w:t>
            </w:r>
          </w:p>
        </w:tc>
        <w:tc>
          <w:tcPr/>
          <w:p>
            <w:pPr>
              <w:pStyle w:val="Compact"/>
              <w:jc w:val="left"/>
            </w:pPr>
            <w:r>
              <w:t xml:space="preserve">24,800.00</w:t>
            </w:r>
          </w:p>
        </w:tc>
      </w:tr>
      <w:tr>
        <w:tc>
          <w:tcPr/>
          <w:p>
            <w:pPr>
              <w:pStyle w:val="Compact"/>
              <w:jc w:val="left"/>
            </w:pPr>
            <w:r>
              <w:t xml:space="preserve">5</w:t>
            </w:r>
          </w:p>
        </w:tc>
        <w:tc>
          <w:tcPr/>
          <w:p>
            <w:pPr>
              <w:pStyle w:val="Compact"/>
              <w:jc w:val="left"/>
            </w:pPr>
            <w:r>
              <w:t xml:space="preserve">Road pavement rehabilitation design — structural analysis, material specification, and construction drawings for asphalt overlay and base reconstruction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19,600.00</w:t>
            </w:r>
          </w:p>
        </w:tc>
        <w:tc>
          <w:tcPr/>
          <w:p>
            <w:pPr>
              <w:pStyle w:val="Compact"/>
              <w:jc w:val="left"/>
            </w:pPr>
            <w:r>
              <w:t xml:space="preserve">19,600.00</w:t>
            </w:r>
          </w:p>
        </w:tc>
      </w:tr>
      <w:tr>
        <w:tc>
          <w:tcPr/>
          <w:p>
            <w:pPr>
              <w:pStyle w:val="Compact"/>
              <w:jc w:val="left"/>
            </w:pPr>
            <w:r>
              <w:t xml:space="preserve">6</w:t>
            </w:r>
          </w:p>
        </w:tc>
        <w:tc>
          <w:tcPr/>
          <w:p>
            <w:pPr>
              <w:pStyle w:val="Compact"/>
              <w:jc w:val="left"/>
            </w:pPr>
            <w:r>
              <w:t xml:space="preserve">Preparation of full construction documentation set (drawings, specifications, BOQ) for Wellington City Council approval</w:t>
            </w:r>
          </w:p>
        </w:tc>
        <w:tc>
          <w:tcPr/>
          <w:p>
            <w:pPr>
              <w:pStyle w:val="Compact"/>
              <w:jc w:val="left"/>
            </w:pPr>
            <w:r>
              <w:t xml:space="preserve">Lot</w:t>
            </w:r>
          </w:p>
        </w:tc>
        <w:tc>
          <w:tcPr/>
          <w:p>
            <w:pPr>
              <w:pStyle w:val="Compact"/>
              <w:jc w:val="left"/>
            </w:pPr>
            <w:r>
              <w:t xml:space="preserve">1</w:t>
            </w:r>
          </w:p>
        </w:tc>
        <w:tc>
          <w:tcPr/>
          <w:p>
            <w:pPr>
              <w:pStyle w:val="Compact"/>
              <w:jc w:val="left"/>
            </w:pPr>
            <w:r>
              <w:t xml:space="preserve">16,400.00</w:t>
            </w:r>
          </w:p>
        </w:tc>
        <w:tc>
          <w:tcPr/>
          <w:p>
            <w:pPr>
              <w:pStyle w:val="Compact"/>
              <w:jc w:val="left"/>
            </w:pPr>
            <w:r>
              <w:t xml:space="preserve">16,400.00</w:t>
            </w:r>
          </w:p>
        </w:tc>
      </w:tr>
      <w:tr>
        <w:tc>
          <w:tcPr/>
          <w:p>
            <w:pPr>
              <w:pStyle w:val="Compact"/>
              <w:jc w:val="left"/>
            </w:pPr>
            <w:r>
              <w:t xml:space="preserve">7</w:t>
            </w:r>
          </w:p>
        </w:tc>
        <w:tc>
          <w:tcPr/>
          <w:p>
            <w:pPr>
              <w:pStyle w:val="Compact"/>
              <w:jc w:val="left"/>
            </w:pPr>
            <w:r>
              <w:t xml:space="preserve">Site supervision and construction-phase</w:t>
            </w:r>
            <w:r>
              <w:t xml:space="preserve"> </w:t>
            </w:r>
            <w:r>
              <w:t xml:space="preserve">Civil Engineer</w:t>
            </w:r>
            <w:r>
              <w:t xml:space="preserve"> </w:t>
            </w:r>
            <w:r>
              <w:t xml:space="preserve">services — weekly site visits, progress inspections, and as-built documentation (estimated 14 weeks)</w:t>
            </w:r>
          </w:p>
        </w:tc>
        <w:tc>
          <w:tcPr/>
          <w:p>
            <w:pPr>
              <w:pStyle w:val="Compact"/>
              <w:jc w:val="left"/>
            </w:pPr>
            <w:r>
              <w:t xml:space="preserve">Week</w:t>
            </w:r>
          </w:p>
        </w:tc>
        <w:tc>
          <w:tcPr/>
          <w:p>
            <w:pPr>
              <w:pStyle w:val="Compact"/>
              <w:jc w:val="left"/>
            </w:pPr>
            <w:r>
              <w:t xml:space="preserve">14</w:t>
            </w:r>
          </w:p>
        </w:tc>
        <w:tc>
          <w:tcPr/>
          <w:p>
            <w:pPr>
              <w:pStyle w:val="Compact"/>
              <w:jc w:val="left"/>
            </w:pPr>
            <w:r>
              <w:t xml:space="preserve">3,200.00</w:t>
            </w:r>
          </w:p>
        </w:tc>
        <w:tc>
          <w:tcPr/>
          <w:p>
            <w:pPr>
              <w:pStyle w:val="Compact"/>
              <w:jc w:val="left"/>
            </w:pPr>
            <w:r>
              <w:t xml:space="preserve">44,800.00</w:t>
            </w:r>
          </w:p>
        </w:tc>
      </w:tr>
      <w:tr>
        <w:tc>
          <w:tcPr/>
          <w:p>
            <w:pPr>
              <w:pStyle w:val="Compact"/>
              <w:jc w:val="left"/>
            </w:pPr>
            <w:r>
              <w:t xml:space="preserve">8</w:t>
            </w:r>
          </w:p>
        </w:tc>
        <w:tc>
          <w:tcPr/>
          <w:p>
            <w:pPr>
              <w:pStyle w:val="Compact"/>
              <w:jc w:val="left"/>
            </w:pPr>
            <w:r>
              <w:t xml:space="preserve">Environmental impact assessment liaison and compliance reporting with Wellington Regional Council</w:t>
            </w:r>
          </w:p>
        </w:tc>
        <w:tc>
          <w:tcPr/>
          <w:p>
            <w:pPr>
              <w:pStyle w:val="Compact"/>
              <w:jc w:val="left"/>
            </w:pPr>
            <w:r>
              <w:t xml:space="preserve">Lot</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9</w:t>
            </w:r>
          </w:p>
        </w:tc>
        <w:tc>
          <w:tcPr/>
          <w:p>
            <w:pPr>
              <w:pStyle w:val="Compact"/>
              <w:jc w:val="left"/>
            </w:pPr>
            <w:r>
              <w:t xml:space="preserve">Project management, coordination with utility providers (Wellington Water, Spark, Vector), and stakeholder meetings</w:t>
            </w:r>
          </w:p>
        </w:tc>
        <w:tc>
          <w:tcPr/>
          <w:p>
            <w:pPr>
              <w:pStyle w:val="Compact"/>
              <w:jc w:val="left"/>
            </w:pPr>
            <w:r>
              <w:t xml:space="preserve">Lot</w:t>
            </w:r>
          </w:p>
        </w:tc>
        <w:tc>
          <w:tcPr/>
          <w:p>
            <w:pPr>
              <w:pStyle w:val="Compact"/>
              <w:jc w:val="left"/>
            </w:pPr>
            <w:r>
              <w:t xml:space="preserve">1</w:t>
            </w:r>
          </w:p>
        </w:tc>
        <w:tc>
          <w:tcPr/>
          <w:p>
            <w:pPr>
              <w:pStyle w:val="Compact"/>
              <w:jc w:val="left"/>
            </w:pPr>
            <w:r>
              <w:t xml:space="preserve">11,000.00</w:t>
            </w:r>
          </w:p>
        </w:tc>
        <w:tc>
          <w:tcPr/>
          <w:p>
            <w:pPr>
              <w:pStyle w:val="Compact"/>
              <w:jc w:val="left"/>
            </w:pPr>
            <w:r>
              <w:t xml:space="preserve">11,000.00</w:t>
            </w:r>
          </w:p>
        </w:tc>
      </w:tr>
      <w:tr>
        <w:tc>
          <w:tcPr/>
          <w:p>
            <w:pPr>
              <w:pStyle w:val="Compact"/>
              <w:jc w:val="left"/>
            </w:pPr>
            <w:r>
              <w:t xml:space="preserve">10</w:t>
            </w:r>
          </w:p>
        </w:tc>
        <w:tc>
          <w:tcPr/>
          <w:p>
            <w:pPr>
              <w:pStyle w:val="Compact"/>
              <w:jc w:val="left"/>
            </w:pPr>
            <w:r>
              <w:t xml:space="preserve">Final project close-out report, warranty documentation, and 12-month defect liability period support</w:t>
            </w:r>
          </w:p>
        </w:tc>
        <w:tc>
          <w:tcPr/>
          <w:p>
            <w:pPr>
              <w:pStyle w:val="Compact"/>
              <w:jc w:val="left"/>
            </w:pPr>
            <w:r>
              <w:t xml:space="preserve">Lot</w:t>
            </w:r>
          </w:p>
        </w:tc>
        <w:tc>
          <w:tcPr/>
          <w:p>
            <w:pPr>
              <w:pStyle w:val="Compact"/>
              <w:jc w:val="left"/>
            </w:pPr>
            <w:r>
              <w:t xml:space="preserve">1</w:t>
            </w:r>
          </w:p>
        </w:tc>
        <w:tc>
          <w:tcPr/>
          <w:p>
            <w:pPr>
              <w:pStyle w:val="Compact"/>
              <w:jc w:val="left"/>
            </w:pPr>
            <w:r>
              <w:t xml:space="preserve">5,800.00</w:t>
            </w:r>
          </w:p>
        </w:tc>
        <w:tc>
          <w:tcPr/>
          <w:p>
            <w:pPr>
              <w:pStyle w:val="Compact"/>
              <w:jc w:val="left"/>
            </w:pPr>
            <w:r>
              <w:t xml:space="preserve">5,800.00</w:t>
            </w:r>
          </w:p>
        </w:tc>
      </w:tr>
      <w:tr>
        <w:tc>
          <w:tcPr>
            <w:gridSpan w:val="5"/>
          </w:tcPr>
          <w:p>
            <w:pPr>
              <w:pStyle w:val="Compact"/>
              <w:jc w:val="right"/>
            </w:pPr>
            <w:r>
              <w:t xml:space="preserve">Subtotal (excl. GST)</w:t>
            </w:r>
          </w:p>
        </w:tc>
        <w:tc>
          <w:tcPr/>
          <w:p>
            <w:pPr>
              <w:pStyle w:val="Compact"/>
              <w:jc w:val="left"/>
            </w:pPr>
            <w:r>
              <w:t xml:space="preserve">190,840.00</w:t>
            </w:r>
          </w:p>
        </w:tc>
      </w:tr>
      <w:tr>
        <w:tc>
          <w:tcPr>
            <w:gridSpan w:val="5"/>
          </w:tcPr>
          <w:p>
            <w:pPr>
              <w:pStyle w:val="Compact"/>
              <w:jc w:val="right"/>
            </w:pPr>
            <w:r>
              <w:t xml:space="preserve">GST (15%)</w:t>
            </w:r>
          </w:p>
        </w:tc>
        <w:tc>
          <w:tcPr/>
          <w:p>
            <w:pPr>
              <w:pStyle w:val="Compact"/>
              <w:jc w:val="left"/>
            </w:pPr>
            <w:r>
              <w:t xml:space="preserve">28,626.00</w:t>
            </w:r>
          </w:p>
        </w:tc>
      </w:tr>
      <w:tr>
        <w:tc>
          <w:tcPr>
            <w:gridSpan w:val="5"/>
          </w:tcPr>
          <w:p>
            <w:pPr>
              <w:pStyle w:val="Compact"/>
              <w:jc w:val="right"/>
            </w:pPr>
            <w:r>
              <w:t xml:space="preserve">TOTAL (incl. GST)</w:t>
            </w:r>
          </w:p>
        </w:tc>
        <w:tc>
          <w:tcPr/>
          <w:p>
            <w:pPr>
              <w:pStyle w:val="Compact"/>
              <w:jc w:val="left"/>
            </w:pPr>
            <w:r>
              <w:t xml:space="preserve">219,466.00</w:t>
            </w:r>
          </w:p>
        </w:tc>
      </w:tr>
    </w:tbl>
    <w:p>
      <w:pPr>
        <w:pStyle w:val="BodyText"/>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sixty (60) calendar days from the date of issue. After this period, all rates and pricing are subject to revision based on prevailing market conditions in</w:t>
      </w:r>
      <w:r>
        <w:t xml:space="preserve"> </w:t>
      </w:r>
      <w:r>
        <w:t xml:space="preserve">New Zealand Wellington</w:t>
      </w:r>
      <w:r>
        <w:t xml:space="preserve">.</w:t>
      </w:r>
    </w:p>
    <w:p>
      <w:pPr>
        <w:numPr>
          <w:ilvl w:val="0"/>
          <w:numId w:val="1001"/>
        </w:numPr>
        <w:pStyle w:val="Compact"/>
      </w:pPr>
      <w:r>
        <w:t xml:space="preserve">All prices are quoted in New Zealand Dollars (NZD) and include all professional fees, travel within the Wellington metropolitan area, and standard engineering software licences. Travel to sites outside the Wellington City Council boundary will be charged at an additional rate of NZD 2.50 per kilometre.</w:t>
      </w:r>
    </w:p>
    <w:p>
      <w:pPr>
        <w:numPr>
          <w:ilvl w:val="0"/>
          <w:numId w:val="1001"/>
        </w:numPr>
        <w:pStyle w:val="Compact"/>
      </w:pPr>
      <w:r>
        <w:t xml:space="preserve">Payment terms: 30% deposit upon acceptance of this quotation, 40% upon completion of design documentation and Council approval, and 30% upon project close-out and handover of as-built records.</w:t>
      </w:r>
    </w:p>
    <w:p>
      <w:pPr>
        <w:numPr>
          <w:ilvl w:val="0"/>
          <w:numId w:val="1001"/>
        </w:numPr>
        <w:pStyle w:val="Compact"/>
      </w:pPr>
      <w:r>
        <w:t xml:space="preserve">The</w:t>
      </w:r>
      <w:r>
        <w:t xml:space="preserve"> </w:t>
      </w:r>
      <w:r>
        <w:t xml:space="preserve">Civil Engineer</w:t>
      </w:r>
      <w:r>
        <w:t xml:space="preserve"> </w:t>
      </w:r>
      <w:r>
        <w:t xml:space="preserve">services described herein are subject to the standard terms of the New Zealand Institute of Civil Engineers (NZICE) Code of Professional Conduct and the applicable provisions of the Building Act 2004.</w:t>
      </w:r>
    </w:p>
    <w:p>
      <w:pPr>
        <w:numPr>
          <w:ilvl w:val="0"/>
          <w:numId w:val="1001"/>
        </w:numPr>
        <w:pStyle w:val="Compact"/>
      </w:pPr>
      <w:r>
        <w:t xml:space="preserve">Any variation to the scope of work must be agreed in writing by both parties prior to commencement. Variations exceeding 10% of the total contract value will require a revised</w:t>
      </w:r>
      <w:r>
        <w:t xml:space="preserve"> </w:t>
      </w:r>
      <w:r>
        <w:t xml:space="preserve">Quotation Estimate</w:t>
      </w:r>
      <w:r>
        <w:t xml:space="preserve">.</w:t>
      </w:r>
    </w:p>
    <w:p>
      <w:pPr>
        <w:numPr>
          <w:ilvl w:val="0"/>
          <w:numId w:val="1001"/>
        </w:numPr>
        <w:pStyle w:val="Compact"/>
      </w:pPr>
      <w:r>
        <w:t xml:space="preserve">Intellectual property: All design drawings, calculations, and reports prepared by Wellington Civil Engineering Ltd remain the property of the firm until full payment has been received. Upon payment, the client receives a non-exclusive licence to use the documentation for the specific project in</w:t>
      </w:r>
      <w:r>
        <w:t xml:space="preserve"> </w:t>
      </w:r>
      <w:r>
        <w:t xml:space="preserve">New Zealand Wellington</w:t>
      </w:r>
      <w:r>
        <w:t xml:space="preserve">.</w:t>
      </w:r>
    </w:p>
    <w:p>
      <w:pPr>
        <w:numPr>
          <w:ilvl w:val="0"/>
          <w:numId w:val="1001"/>
        </w:numPr>
        <w:pStyle w:val="Compact"/>
      </w:pPr>
      <w:r>
        <w:t xml:space="preserve">Insurance: The firm maintains Professional Indemnity Insurance of NZD 10,000,000 per claim and Public Liability Insurance of NZD 20,000,000, both compliant with Wellington City Council procurement requirements.</w:t>
      </w:r>
    </w:p>
    <w:p>
      <w:pPr>
        <w:numPr>
          <w:ilvl w:val="0"/>
          <w:numId w:val="1001"/>
        </w:numPr>
        <w:pStyle w:val="Compact"/>
      </w:pPr>
      <w:r>
        <w:t xml:space="preserve">This quotation does not constitute a contract until a formal agreement is executed by both parties. Acceptance may be indicated by signing and returning the copy of this document or by written confirmation to the email address provided above.</w:t>
      </w:r>
    </w:p>
    <w:p>
      <w:pPr>
        <w:numPr>
          <w:ilvl w:val="0"/>
          <w:numId w:val="1001"/>
        </w:numPr>
        <w:pStyle w:val="Compact"/>
      </w:pPr>
      <w:r>
        <w:t xml:space="preserve">Disputes arising from this engagement shall be resolved in accordance with the Disputes and Fair Dealing Act 1991 and, where applicable, the jurisdiction of the District Court at Wellington, New Zealand.</w:t>
      </w:r>
    </w:p>
    <w:p>
      <w:pPr>
        <w:pStyle w:val="FirstParagraph"/>
      </w:pPr>
      <w:r>
        <w:rPr>
          <w:bCs/>
          <w:b/>
        </w:rPr>
        <w:t xml:space="preserve">Validity Notice:</w:t>
      </w:r>
      <w:r>
        <w:t xml:space="preserve"> </w:t>
      </w:r>
      <w:r>
        <w:t xml:space="preserve">This Quotation Estimate is valid until 13 August 2025. Rates are based on current material and labour costs in the Wellington region as of June 2025. Any significant change in the Wellington construction market, including but not limited to seismic code amendments or Wellington City Council policy updates, may necessitate a price review.</w:t>
      </w:r>
    </w:p>
    <w:p>
      <w:pPr>
        <w:pStyle w:val="BodyText"/>
      </w:pPr>
      <w:r>
        <w:t xml:space="preserve">4. Acceptance &amp; Authorisation</w:t>
      </w:r>
    </w:p>
    <w:p>
      <w:pPr>
        <w:pStyle w:val="BodyText"/>
      </w:pPr>
      <w:r>
        <w:rPr>
          <w:bCs/>
          <w:b/>
        </w:rPr>
        <w:t xml:space="preserve">For and on behalf of Wellington Civil Engineering Ltd:</w:t>
      </w:r>
    </w:p>
    <w:p>
      <w:pPr>
        <w:pStyle w:val="BodyText"/>
      </w:pPr>
      <w:r>
        <w:t xml:space="preserve">Name: Dr. Sarah Ngata, MSc (Civ Eng), NZCE</w:t>
      </w:r>
      <w:r>
        <w:br/>
      </w:r>
      <w:r>
        <w:t xml:space="preserve">Title: Principal Civil Engineer &amp; Registered Professional Engineer (RPE)</w:t>
      </w:r>
      <w:r>
        <w:br/>
      </w:r>
      <w:r>
        <w:t xml:space="preserve">Signature: ___________________________    Date: _______________</w:t>
      </w:r>
    </w:p>
    <w:p>
      <w:pPr>
        <w:pStyle w:val="BodyText"/>
      </w:pPr>
      <w:r>
        <w:rPr>
          <w:bCs/>
          <w:b/>
        </w:rPr>
        <w:t xml:space="preserve">Accepted by (Client):</w:t>
      </w:r>
    </w:p>
    <w:p>
      <w:pPr>
        <w:pStyle w:val="BodyText"/>
      </w:pPr>
      <w:r>
        <w:t xml:space="preserve">Name: Mr. David Tui</w:t>
      </w:r>
      <w:r>
        <w:br/>
      </w:r>
      <w:r>
        <w:t xml:space="preserve">Title: Senior Project Manager, Wellington City Council</w:t>
      </w:r>
      <w:r>
        <w:br/>
      </w:r>
      <w:r>
        <w:t xml:space="preserve">Signature: ___________________________    Date: _______________</w:t>
      </w:r>
    </w:p>
    <w:p>
      <w:pPr>
        <w:pStyle w:val="BodyText"/>
      </w:pPr>
      <w:r>
        <w:t xml:space="preserve">Wellington Civil Engineering Ltd — 148 Cuba Street, Te Aro, Wellington 6011, New Zealand</w:t>
      </w:r>
      <w:r>
        <w:br/>
      </w:r>
      <w:r>
        <w:t xml:space="preserve">This Quotation Estimate has been prepared by a registered Civil Engineer in accordance with NZICE standards. All engineering services are delivered in compliance with New Zealand legislation and Wellington City Council requirements.</w:t>
      </w:r>
      <w:r>
        <w:br/>
      </w:r>
      <w:r>
        <w:t xml:space="preserve">Document Ref: QE-CIV-WLG-2025-0472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 New Zealand Wellington</dc:title>
  <dc:creator/>
  <dc:language>en</dc:language>
  <cp:keywords/>
  <dcterms:created xsi:type="dcterms:W3CDTF">2026-10-10T07:09:02Z</dcterms:created>
  <dcterms:modified xsi:type="dcterms:W3CDTF">2026-10-10T07:09:02Z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