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Civil Engineer Services — Russia Moscow</w:t>
      </w:r>
    </w:p>
    <w:bookmarkEnd w:id="20"/>
    <w:bookmarkStart w:id="21" w:name="prepared-by"/>
    <w:p>
      <w:pPr>
        <w:pStyle w:val="Heading3"/>
      </w:pPr>
      <w:r>
        <w:t xml:space="preserve">Prepared By</w:t>
      </w:r>
    </w:p>
    <w:p>
      <w:pPr>
        <w:pStyle w:val="FirstParagraph"/>
      </w:pPr>
      <w:r>
        <w:rPr>
          <w:bCs/>
          <w:b/>
        </w:rPr>
        <w:t xml:space="preserve">StroyPro Engineering LLC</w:t>
      </w:r>
      <w:r>
        <w:br/>
      </w:r>
      <w:r>
        <w:t xml:space="preserve">12, Tverskaya Street, Building 4</w:t>
      </w:r>
      <w:r>
        <w:br/>
      </w:r>
      <w:r>
        <w:t xml:space="preserve">Moscow, 125009, Russian Federation</w:t>
      </w:r>
      <w:r>
        <w:br/>
      </w:r>
      <w:r>
        <w:t xml:space="preserve">Phone: +7 (495) 782-3456</w:t>
      </w:r>
      <w:r>
        <w:br/>
      </w:r>
      <w:r>
        <w:t xml:space="preserve">Email: estimates@stroypro-eng.ru</w:t>
      </w:r>
      <w:r>
        <w:br/>
      </w:r>
      <w:r>
        <w:t xml:space="preserve">INN: 7710456789 / OGRN: 1157746001234</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Organization:</w:t>
      </w:r>
      <w:r>
        <w:t xml:space="preserve"> </w:t>
      </w:r>
      <w:r>
        <w:t xml:space="preserve">[Company / Project Name]</w:t>
      </w:r>
      <w:r>
        <w:br/>
      </w:r>
      <w:r>
        <w:rPr>
          <w:bCs/>
          <w:b/>
        </w:rPr>
        <w:t xml:space="preserve">Address:</w:t>
      </w:r>
      <w:r>
        <w:t xml:space="preserve"> </w:t>
      </w:r>
      <w:r>
        <w:t xml:space="preserve">[Street, District]</w:t>
      </w:r>
      <w:r>
        <w:br/>
      </w:r>
      <w:r>
        <w:t xml:space="preserve">Moscow, [Postal Code], Russian Federation</w:t>
      </w:r>
      <w:r>
        <w:br/>
      </w:r>
      <w:r>
        <w:t xml:space="preserve">Phone: +7 (___) ___-__-__</w:t>
      </w:r>
      <w:r>
        <w:br/>
      </w:r>
      <w:r>
        <w:t xml:space="preserve">Email: [client@email.ru]</w:t>
      </w:r>
    </w:p>
    <w:bookmarkEnd w:id="22"/>
    <w:p>
      <w:pPr>
        <w:pStyle w:val="BodyText"/>
      </w:pPr>
      <w:r>
        <w:rPr>
          <w:bCs/>
          <w:b/>
        </w:rPr>
        <w:t xml:space="preserve">Quotation No.</w:t>
      </w:r>
      <w:r>
        <w:t xml:space="preserve"> </w:t>
      </w:r>
      <w:r>
        <w:t xml:space="preserve">QE-2025-MOS-0472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Russia Moscow</w:t>
      </w:r>
    </w:p>
    <w:p>
      <w:pPr>
        <w:pStyle w:val="BodyText"/>
      </w:pPr>
      <w:r>
        <w:rPr>
          <w:bCs/>
          <w:b/>
        </w:rPr>
        <w:t xml:space="preserve">Currency</w:t>
      </w:r>
      <w:r>
        <w:t xml:space="preserve"> </w:t>
      </w:r>
      <w:r>
        <w:t xml:space="preserve">Russian Rubles (RUB)</w:t>
      </w:r>
    </w:p>
    <w:bookmarkStart w:id="23" w:name="X1d31a6dbc2ffb22eb3adae3eb003ea90235bb19"/>
    <w:p>
      <w:pPr>
        <w:pStyle w:val="Heading2"/>
      </w:pPr>
      <w:r>
        <w:t xml:space="preserve">1. Scope of Work — Civil Engineer Services in Russia Moscow</w:t>
      </w:r>
    </w:p>
    <w:p>
      <w:pPr>
        <w:pStyle w:val="FirstParagraph"/>
      </w:pPr>
      <w:r>
        <w:t xml:space="preserve">This</w:t>
      </w:r>
      <w:r>
        <w:t xml:space="preserve"> </w:t>
      </w:r>
      <w:r>
        <w:t xml:space="preserve">Quotation Estimate</w:t>
      </w:r>
      <w:r>
        <w:t xml:space="preserve"> </w:t>
      </w:r>
      <w:r>
        <w:t xml:space="preserve">is issued by StroyPro Engineering LLC to provide a comprehensive breakdown of professional</w:t>
      </w:r>
      <w:r>
        <w:t xml:space="preserve"> </w:t>
      </w:r>
      <w:r>
        <w:t xml:space="preserve">Civil Engineer</w:t>
      </w:r>
      <w:r>
        <w:t xml:space="preserve"> </w:t>
      </w:r>
      <w:r>
        <w:t xml:space="preserve">services for the construction and infrastructure project located in</w:t>
      </w:r>
      <w:r>
        <w:t xml:space="preserve"> </w:t>
      </w:r>
      <w:r>
        <w:t xml:space="preserve">Russia Moscow</w:t>
      </w:r>
      <w:r>
        <w:t xml:space="preserve">. The scope encompasses structural design, site supervision, geotechnical assessment, and compliance verification in accordance with the Russian national building codes (SNiP, SP, and GOST standards) as well as the local Moscow City Construction Committee (Moskomarkhitektura) regulations.</w:t>
      </w:r>
    </w:p>
    <w:p>
      <w:pPr>
        <w:pStyle w:val="BodyText"/>
      </w:pPr>
      <w:r>
        <w:t xml:space="preserve">The</w:t>
      </w:r>
      <w:r>
        <w:t xml:space="preserve"> </w:t>
      </w:r>
      <w:r>
        <w:t xml:space="preserve">Civil Engineer</w:t>
      </w:r>
      <w:r>
        <w:t xml:space="preserve"> </w:t>
      </w:r>
      <w:r>
        <w:t xml:space="preserve">team assigned to this project will operate within the administrative boundaries of Moscow, ensuring that all structural calculations, material specifications, and construction methodologies meet the stringent requirements imposed by the Moscow Department of Urban Development and Construction. All deliverables will be prepared in both Russian and English to facilitate international stakeholder review.</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Structural design and load calculations for a 12-storey residential complex in the Central Administrative District, Russia Moscow</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Geotechnical investigation and soil bearing capacity analysis for the foundation system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On-site Civil Engineer supervision during foundation and substructure construction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Design of reinforced concrete frame, columns, beams, and slab systems per SP 52-101-2003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Seismic and wind load assessment compliant with Moscow regional seismic zoning (Zone 7, 0.05g)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Preparation of construction documentation package (RDK) for submission to Moskomarkhitektura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1,600,000</w:t>
            </w:r>
          </w:p>
        </w:tc>
        <w:tc>
          <w:tcPr/>
          <w:p>
            <w:pPr>
              <w:pStyle w:val="Compact"/>
              <w:jc w:val="left"/>
            </w:pPr>
            <w:r>
              <w:t xml:space="preserve">1,600,000</w:t>
            </w:r>
          </w:p>
        </w:tc>
      </w:tr>
      <w:tr>
        <w:tc>
          <w:tcPr/>
          <w:p>
            <w:pPr>
              <w:pStyle w:val="Compact"/>
              <w:jc w:val="left"/>
            </w:pPr>
            <w:r>
              <w:t xml:space="preserve">7</w:t>
            </w:r>
          </w:p>
        </w:tc>
        <w:tc>
          <w:tcPr/>
          <w:p>
            <w:pPr>
              <w:pStyle w:val="Compact"/>
              <w:jc w:val="left"/>
            </w:pPr>
            <w:r>
              <w:t xml:space="preserve">Quality control and non-destructive testing (NDT) of concrete elements during superstructure phase</w:t>
            </w:r>
          </w:p>
        </w:tc>
        <w:tc>
          <w:tcPr/>
          <w:p>
            <w:pPr>
              <w:pStyle w:val="Compact"/>
              <w:jc w:val="left"/>
            </w:pPr>
            <w:r>
              <w:t xml:space="preserve">Month</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8</w:t>
            </w:r>
          </w:p>
        </w:tc>
        <w:tc>
          <w:tcPr/>
          <w:p>
            <w:pPr>
              <w:pStyle w:val="Compact"/>
              <w:jc w:val="left"/>
            </w:pPr>
            <w:r>
              <w:t xml:space="preserve">As-built documentation and final Civil Engineer certification report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9</w:t>
            </w:r>
          </w:p>
        </w:tc>
        <w:tc>
          <w:tcPr/>
          <w:p>
            <w:pPr>
              <w:pStyle w:val="Compact"/>
              <w:jc w:val="left"/>
            </w:pPr>
            <w:r>
              <w:t xml:space="preserve">Coordination with municipal utilities (water, gas, electricity) within Moscow city infrastructure network</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10</w:t>
            </w:r>
          </w:p>
        </w:tc>
        <w:tc>
          <w:tcPr/>
          <w:p>
            <w:pPr>
              <w:pStyle w:val="Compact"/>
              <w:jc w:val="left"/>
            </w:pPr>
            <w:r>
              <w:t xml:space="preserve">Environmental impact assessment and noise/vibration monitoring per Moscow City Environmental Code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(RUB):</w:t>
            </w:r>
          </w:p>
        </w:tc>
        <w:tc>
          <w:tcPr/>
          <w:p>
            <w:pPr>
              <w:pStyle w:val="Compact"/>
              <w:jc w:val="left"/>
            </w:pPr>
            <w:r>
              <w:t xml:space="preserve">15,810,000</w:t>
            </w:r>
          </w:p>
        </w:tc>
      </w:tr>
      <w:tr>
        <w:tc>
          <w:tcPr>
            <w:gridSpan w:val="5"/>
          </w:tcPr>
          <w:p>
            <w:pPr>
              <w:pStyle w:val="Compact"/>
              <w:jc w:val="right"/>
            </w:pPr>
            <w:r>
              <w:t xml:space="preserve">VAT 20% (RUB):</w:t>
            </w:r>
          </w:p>
        </w:tc>
        <w:tc>
          <w:tcPr/>
          <w:p>
            <w:pPr>
              <w:pStyle w:val="Compact"/>
              <w:jc w:val="left"/>
            </w:pPr>
            <w:r>
              <w:t xml:space="preserve">3,162,000</w:t>
            </w:r>
          </w:p>
        </w:tc>
      </w:tr>
      <w:tr>
        <w:tc>
          <w:tcPr>
            <w:gridSpan w:val="5"/>
          </w:tcPr>
          <w:p>
            <w:pPr>
              <w:pStyle w:val="Compact"/>
              <w:jc w:val="right"/>
            </w:pPr>
            <w:r>
              <w:t xml:space="preserve">TOTAL QUOTATION ESTIMATE (RUB):</w:t>
            </w:r>
          </w:p>
        </w:tc>
        <w:tc>
          <w:tcPr/>
          <w:p>
            <w:pPr>
              <w:pStyle w:val="Compact"/>
              <w:jc w:val="left"/>
            </w:pPr>
            <w:r>
              <w:t xml:space="preserve">18,972,000</w:t>
            </w:r>
          </w:p>
        </w:tc>
      </w:tr>
    </w:tbl>
    <w:bookmarkEnd w:id="24"/>
    <w:bookmarkStart w:id="25" w:name="payment-schedule"/>
    <w:p>
      <w:pPr>
        <w:pStyle w:val="Heading2"/>
      </w:pPr>
      <w:r>
        <w:t xml:space="preserve">3. Payment Schedule</w:t>
      </w:r>
    </w:p>
    <w:p>
      <w:pPr>
        <w:pStyle w:val="FirstParagraph"/>
      </w:pPr>
      <w:r>
        <w:t xml:space="preserve">The total</w:t>
      </w:r>
      <w:r>
        <w:t xml:space="preserve"> </w:t>
      </w:r>
      <w:r>
        <w:t xml:space="preserve">Quotation Estimate</w:t>
      </w:r>
      <w:r>
        <w:t xml:space="preserve"> </w:t>
      </w:r>
      <w:r>
        <w:t xml:space="preserve">amount of 18,972,000 RUB (inclusive of 20% VAT) shall be disbursed according to the following milestone-based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(RUB)</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20%</w:t>
            </w:r>
          </w:p>
        </w:tc>
        <w:tc>
          <w:tcPr/>
          <w:p>
            <w:pPr>
              <w:pStyle w:val="Compact"/>
              <w:jc w:val="left"/>
            </w:pPr>
            <w:r>
              <w:t xml:space="preserve">3,794,400</w:t>
            </w:r>
          </w:p>
        </w:tc>
        <w:tc>
          <w:tcPr/>
          <w:p>
            <w:pPr>
              <w:pStyle w:val="Compact"/>
              <w:jc w:val="left"/>
            </w:pPr>
            <w:r>
              <w:t xml:space="preserve">Upon contract signing</w:t>
            </w:r>
          </w:p>
        </w:tc>
      </w:tr>
      <w:tr>
        <w:tc>
          <w:tcPr/>
          <w:p>
            <w:pPr>
              <w:pStyle w:val="Compact"/>
              <w:jc w:val="left"/>
            </w:pPr>
            <w:r>
              <w:t xml:space="preserve">Design Phase Completion</w:t>
            </w:r>
          </w:p>
        </w:tc>
        <w:tc>
          <w:tcPr/>
          <w:p>
            <w:pPr>
              <w:pStyle w:val="Compact"/>
              <w:jc w:val="left"/>
            </w:pPr>
            <w:r>
              <w:t xml:space="preserve">25%</w:t>
            </w:r>
          </w:p>
        </w:tc>
        <w:tc>
          <w:tcPr/>
          <w:p>
            <w:pPr>
              <w:pStyle w:val="Compact"/>
              <w:jc w:val="left"/>
            </w:pPr>
            <w:r>
              <w:t xml:space="preserve">4,743,000</w:t>
            </w:r>
          </w:p>
        </w:tc>
        <w:tc>
          <w:tcPr/>
          <w:p>
            <w:pPr>
              <w:pStyle w:val="Compact"/>
              <w:jc w:val="left"/>
            </w:pPr>
            <w:r>
              <w:t xml:space="preserve">Approval of RDK by Moskomarkhitektura</w:t>
            </w:r>
          </w:p>
        </w:tc>
      </w:tr>
      <w:tr>
        <w:tc>
          <w:tcPr/>
          <w:p>
            <w:pPr>
              <w:pStyle w:val="Compact"/>
              <w:jc w:val="left"/>
            </w:pPr>
            <w:r>
              <w:t xml:space="preserve">Foundation Phase Completion</w:t>
            </w:r>
          </w:p>
        </w:tc>
        <w:tc>
          <w:tcPr/>
          <w:p>
            <w:pPr>
              <w:pStyle w:val="Compact"/>
              <w:jc w:val="left"/>
            </w:pPr>
            <w:r>
              <w:t xml:space="preserve">25%</w:t>
            </w:r>
          </w:p>
        </w:tc>
        <w:tc>
          <w:tcPr/>
          <w:p>
            <w:pPr>
              <w:pStyle w:val="Compact"/>
              <w:jc w:val="left"/>
            </w:pPr>
            <w:r>
              <w:t xml:space="preserve">4,743,000</w:t>
            </w:r>
          </w:p>
        </w:tc>
        <w:tc>
          <w:tcPr/>
          <w:p>
            <w:pPr>
              <w:pStyle w:val="Compact"/>
              <w:jc w:val="left"/>
            </w:pPr>
            <w:r>
              <w:t xml:space="preserve">Civil Engineer sign-off on substructure</w:t>
            </w:r>
          </w:p>
        </w:tc>
      </w:tr>
      <w:tr>
        <w:tc>
          <w:tcPr/>
          <w:p>
            <w:pPr>
              <w:pStyle w:val="Compact"/>
              <w:jc w:val="left"/>
            </w:pPr>
            <w:r>
              <w:t xml:space="preserve">Superstructure Completion</w:t>
            </w:r>
          </w:p>
        </w:tc>
        <w:tc>
          <w:tcPr/>
          <w:p>
            <w:pPr>
              <w:pStyle w:val="Compact"/>
              <w:jc w:val="left"/>
            </w:pPr>
            <w:r>
              <w:t xml:space="preserve">20%</w:t>
            </w:r>
          </w:p>
        </w:tc>
        <w:tc>
          <w:tcPr/>
          <w:p>
            <w:pPr>
              <w:pStyle w:val="Compact"/>
              <w:jc w:val="left"/>
            </w:pPr>
            <w:r>
              <w:t xml:space="preserve">3,794,400</w:t>
            </w:r>
          </w:p>
        </w:tc>
        <w:tc>
          <w:tcPr/>
          <w:p>
            <w:pPr>
              <w:pStyle w:val="Compact"/>
              <w:jc w:val="left"/>
            </w:pPr>
            <w:r>
              <w:t xml:space="preserve">NDT reports accepted</w:t>
            </w:r>
          </w:p>
        </w:tc>
      </w:tr>
      <w:tr>
        <w:tc>
          <w:tcPr/>
          <w:p>
            <w:pPr>
              <w:pStyle w:val="Compact"/>
              <w:jc w:val="left"/>
            </w:pPr>
            <w:r>
              <w:t xml:space="preserve">Final Handover</w:t>
            </w:r>
          </w:p>
        </w:tc>
        <w:tc>
          <w:tcPr/>
          <w:p>
            <w:pPr>
              <w:pStyle w:val="Compact"/>
              <w:jc w:val="left"/>
            </w:pPr>
            <w:r>
              <w:t xml:space="preserve">10%</w:t>
            </w:r>
          </w:p>
        </w:tc>
        <w:tc>
          <w:tcPr/>
          <w:p>
            <w:pPr>
              <w:pStyle w:val="Compact"/>
              <w:jc w:val="left"/>
            </w:pPr>
            <w:r>
              <w:t xml:space="preserve">1,897,200</w:t>
            </w:r>
          </w:p>
        </w:tc>
        <w:tc>
          <w:tcPr/>
          <w:p>
            <w:pPr>
              <w:pStyle w:val="Compact"/>
              <w:jc w:val="left"/>
            </w:pPr>
            <w:r>
              <w:t xml:space="preserve">As-built documentation delivered</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changes in material prices, exchange rates, or regulatory requirements in</w:t>
      </w:r>
      <w:r>
        <w:t xml:space="preserve"> </w:t>
      </w:r>
      <w:r>
        <w:t xml:space="preserve">Russia Moscow</w:t>
      </w:r>
      <w:r>
        <w:t xml:space="preserve"> </w:t>
      </w:r>
      <w:r>
        <w:t xml:space="preserve">beyond this period may necessitate a revised estimate.</w:t>
      </w:r>
    </w:p>
    <w:p>
      <w:pPr>
        <w:numPr>
          <w:ilvl w:val="0"/>
          <w:numId w:val="1001"/>
        </w:numPr>
        <w:pStyle w:val="Compact"/>
      </w:pPr>
      <w:r>
        <w:t xml:space="preserve">All</w:t>
      </w:r>
      <w:r>
        <w:t xml:space="preserve"> </w:t>
      </w:r>
      <w:r>
        <w:t xml:space="preserve">Civil Engineer</w:t>
      </w:r>
      <w:r>
        <w:t xml:space="preserve"> </w:t>
      </w:r>
      <w:r>
        <w:t xml:space="preserve">services shall be performed in strict compliance with the Federal Law No. 384-FZ "Technical Regulation on Safety of Buildings and Structures" and applicable Moscow municipal bylaws.</w:t>
      </w:r>
    </w:p>
    <w:p>
      <w:pPr>
        <w:numPr>
          <w:ilvl w:val="0"/>
          <w:numId w:val="1001"/>
        </w:numPr>
        <w:pStyle w:val="Compact"/>
      </w:pPr>
      <w:r>
        <w:t xml:space="preserve">The</w:t>
      </w:r>
      <w:r>
        <w:t xml:space="preserve"> </w:t>
      </w:r>
      <w:r>
        <w:t xml:space="preserve">Civil Engineer</w:t>
      </w:r>
      <w:r>
        <w:t xml:space="preserve"> </w:t>
      </w:r>
      <w:r>
        <w:t xml:space="preserve">team shall hold valid professional accreditation issued by the Russian Self-Regulatory Organization of Engineers (SRO) and shall maintain professional liability insurance of no less than 50,000,000 RUB.</w:t>
      </w:r>
    </w:p>
    <w:p>
      <w:pPr>
        <w:numPr>
          <w:ilvl w:val="0"/>
          <w:numId w:val="1001"/>
        </w:numPr>
        <w:pStyle w:val="Compact"/>
      </w:pPr>
      <w:r>
        <w:t xml:space="preserve">Payment terms: Net 15 days from the date of invoice issuance. Late payments shall accrue interest at the key rate of the Central Bank of the Russian Federation plus 2% per annum.</w:t>
      </w:r>
    </w:p>
    <w:p>
      <w:pPr>
        <w:numPr>
          <w:ilvl w:val="0"/>
          <w:numId w:val="1001"/>
        </w:numPr>
        <w:pStyle w:val="Compact"/>
      </w:pPr>
      <w:r>
        <w:t xml:space="preserve">All project documentation, drawings, and calculation reports prepared by the</w:t>
      </w:r>
      <w:r>
        <w:t xml:space="preserve"> </w:t>
      </w:r>
      <w:r>
        <w:t xml:space="preserve">Civil Engineer</w:t>
      </w:r>
      <w:r>
        <w:t xml:space="preserve"> </w:t>
      </w:r>
      <w:r>
        <w:t xml:space="preserve">team remain the intellectual property of StroyPro Engineering LLC until full payment is received.</w:t>
      </w:r>
    </w:p>
    <w:p>
      <w:pPr>
        <w:numPr>
          <w:ilvl w:val="0"/>
          <w:numId w:val="1001"/>
        </w:numPr>
        <w:pStyle w:val="Compact"/>
      </w:pPr>
      <w:r>
        <w:t xml:space="preserve">Force majeure events, including but not limited to natural disasters, government-mandated construction halts, or changes in Moscow City zoning regulations, shall be addressed through mutual written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the formal Service Agreement in accordance with the Civil Code of the Russian Federation.</w:t>
      </w:r>
    </w:p>
    <w:p>
      <w:pPr>
        <w:numPr>
          <w:ilvl w:val="0"/>
          <w:numId w:val="1001"/>
        </w:numPr>
        <w:pStyle w:val="Compact"/>
      </w:pPr>
      <w:r>
        <w:t xml:space="preserve">Disputes arising from this estimate or subsequent contract shall be resolved through arbitration at the Moscow Arbitration Court in accordance with the applicable procedural rules.</w:t>
      </w:r>
    </w:p>
    <w:bookmarkEnd w:id="26"/>
    <w:bookmarkStart w:id="27"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the construction site within the designated Moscow district, furnish all existing survey data, and obtain all necessary permits from municipal authorities prior to the commencement of</w:t>
      </w:r>
      <w:r>
        <w:t xml:space="preserve"> </w:t>
      </w:r>
      <w:r>
        <w:t xml:space="preserve">Civil Engineer</w:t>
      </w:r>
      <w:r>
        <w:t xml:space="preserve"> </w:t>
      </w:r>
      <w:r>
        <w:t xml:space="preserve">fieldwork. The estimate excludes: demolition of existing structures, utility relocation works beyond coordination, architectural design, interior fit-out engineering, and any remedial works arising from pre-existing structural defects not identified during the initial geotechnical survey.</w:t>
      </w:r>
    </w:p>
    <w:p>
      <w:pPr>
        <w:pStyle w:val="BodyText"/>
      </w:pPr>
      <w:r>
        <w:rPr>
          <w:bCs/>
          <w:b/>
        </w:rPr>
        <w:t xml:space="preserve">For StroyPro Engineering LLC</w:t>
      </w:r>
      <w:r>
        <w:br/>
      </w:r>
      <w:r>
        <w:t xml:space="preserve">[Full Name]</w:t>
      </w:r>
      <w:r>
        <w:br/>
      </w:r>
      <w:r>
        <w:t xml:space="preserve">Lead Civil Engineer / Project Director</w:t>
      </w:r>
      <w:r>
        <w:br/>
      </w:r>
      <w:r>
        <w:t xml:space="preserve">Date: _______________</w:t>
      </w:r>
    </w:p>
    <w:p>
      <w:pPr>
        <w:pStyle w:val="BodyText"/>
      </w:pPr>
      <w:r>
        <w:rPr>
          <w:bCs/>
          <w:b/>
        </w:rPr>
        <w:t xml:space="preserve">For the Client</w:t>
      </w:r>
      <w:r>
        <w:br/>
      </w:r>
      <w:r>
        <w:t xml:space="preserve">[Full Name]</w:t>
      </w:r>
      <w:r>
        <w:br/>
      </w:r>
      <w:r>
        <w:t xml:space="preserve">Authorized Representative</w:t>
      </w:r>
      <w:r>
        <w:br/>
      </w:r>
      <w:r>
        <w:t xml:space="preserve">Date: _______________</w:t>
      </w:r>
    </w:p>
    <w:p>
      <w:pPr>
        <w:pStyle w:val="BodyText"/>
      </w:pPr>
      <w:r>
        <w:t xml:space="preserve">Quotation Estimate No. QE-2025-MOS-0472 | StroyPro Engineering LLC | Moscow, Russian Federation</w:t>
      </w:r>
      <w:r>
        <w:br/>
      </w:r>
      <w:r>
        <w:t xml:space="preserve">This document is a commercial estimate and does not constitute a legally binding obligation until a formal contract is executed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Russia Moscow</dc:title>
  <dc:creator/>
  <dc:language>en</dc:language>
  <cp:keywords/>
  <dcterms:created xsi:type="dcterms:W3CDTF">2026-10-10T03:39:42Z</dcterms:created>
  <dcterms:modified xsi:type="dcterms:W3CDTF">2026-10-10T03:39:42Z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