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Civil Engineer Services | Saudi Arabia Jeddah</w:t>
      </w:r>
    </w:p>
    <w:bookmarkEnd w:id="20"/>
    <w:bookmarkStart w:id="21" w:name="prepared-by"/>
    <w:p>
      <w:pPr>
        <w:pStyle w:val="Heading3"/>
      </w:pPr>
      <w:r>
        <w:t xml:space="preserve">Prepared By:</w:t>
      </w:r>
    </w:p>
    <w:p>
      <w:pPr>
        <w:pStyle w:val="FirstParagraph"/>
      </w:pPr>
      <w:r>
        <w:rPr>
          <w:bCs/>
          <w:b/>
        </w:rPr>
        <w:t xml:space="preserve">Al-Nakheel Engineering &amp; Consultancy Co.</w:t>
      </w:r>
    </w:p>
    <w:p>
      <w:pPr>
        <w:pStyle w:val="BodyText"/>
      </w:pPr>
      <w:r>
        <w:t xml:space="preserve">Office 412, Jeddah Business Tower</w:t>
      </w:r>
    </w:p>
    <w:p>
      <w:pPr>
        <w:pStyle w:val="BodyText"/>
      </w:pPr>
      <w:r>
        <w:t xml:space="preserve">Al-Rawdah District, Jeddah 23412</w:t>
      </w:r>
    </w:p>
    <w:p>
      <w:pPr>
        <w:pStyle w:val="BodyText"/>
      </w:pPr>
      <w:r>
        <w:t xml:space="preserve">Saudi Arabia</w:t>
      </w:r>
    </w:p>
    <w:p>
      <w:pPr>
        <w:pStyle w:val="BodyText"/>
      </w:pPr>
      <w:r>
        <w:t xml:space="preserve">Tel: +966 12 555 0147</w:t>
      </w:r>
    </w:p>
    <w:p>
      <w:pPr>
        <w:pStyle w:val="BodyText"/>
      </w:pPr>
      <w:r>
        <w:t xml:space="preserve">Email: estimates@alnakheel-eng.sa</w:t>
      </w:r>
    </w:p>
    <w:p>
      <w:pPr>
        <w:pStyle w:val="BodyText"/>
      </w:pPr>
      <w:r>
        <w:t xml:space="preserve">CR No: 1010XXXXXX | VAT: 3101XXXXXX</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Project Owner]</w:t>
      </w:r>
    </w:p>
    <w:p>
      <w:pPr>
        <w:pStyle w:val="BodyText"/>
      </w:pPr>
      <w:r>
        <w:rPr>
          <w:bCs/>
          <w:b/>
        </w:rPr>
        <w:t xml:space="preserve">Project Address:</w:t>
      </w:r>
      <w:r>
        <w:t xml:space="preserve"> </w:t>
      </w:r>
      <w:r>
        <w:t xml:space="preserve">[Site Location], Jeddah</w:t>
      </w:r>
    </w:p>
    <w:p>
      <w:pPr>
        <w:pStyle w:val="BodyText"/>
      </w:pPr>
      <w:r>
        <w:rPr>
          <w:bCs/>
          <w:b/>
        </w:rPr>
        <w:t xml:space="preserve">Region:</w:t>
      </w:r>
      <w:r>
        <w:t xml:space="preserve"> </w:t>
      </w:r>
      <w:r>
        <w:t xml:space="preserve">Makkah Province</w:t>
      </w:r>
    </w:p>
    <w:p>
      <w:pPr>
        <w:pStyle w:val="BodyText"/>
      </w:pPr>
      <w:r>
        <w:rPr>
          <w:bCs/>
          <w:b/>
        </w:rPr>
        <w:t xml:space="preserve">Saudi Arabia</w:t>
      </w:r>
    </w:p>
    <w:p>
      <w:pPr>
        <w:pStyle w:val="BodyText"/>
      </w:pPr>
      <w:r>
        <w:rPr>
          <w:bCs/>
          <w:b/>
        </w:rPr>
        <w:t xml:space="preserve">Contact:</w:t>
      </w:r>
      <w:r>
        <w:t xml:space="preserve"> </w:t>
      </w:r>
      <w:r>
        <w:t xml:space="preserve">[Phone / Email]</w:t>
      </w:r>
    </w:p>
    <w:p>
      <w:pPr>
        <w:pStyle w:val="BodyText"/>
      </w:pPr>
      <w:r>
        <w:rPr>
          <w:bCs/>
          <w:b/>
        </w:rPr>
        <w:t xml:space="preserve">CR / VAT No:</w:t>
      </w:r>
      <w:r>
        <w:t xml:space="preserve"> </w:t>
      </w:r>
      <w:r>
        <w:t xml:space="preserve">[To be provided]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QTE-JED-2025-0472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Title:</w:t>
            </w:r>
          </w:p>
        </w:tc>
        <w:tc>
          <w:tcPr/>
          <w:p>
            <w:pPr>
              <w:pStyle w:val="Compact"/>
              <w:jc w:val="left"/>
            </w:pPr>
            <w:r>
              <w:t xml:space="preserve">Residential &amp; Commercial Complex – Phase II</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Service Category:</w:t>
            </w:r>
          </w:p>
        </w:tc>
        <w:tc>
          <w:tcPr/>
          <w:p>
            <w:pPr>
              <w:pStyle w:val="Compact"/>
              <w:jc w:val="left"/>
            </w:pPr>
            <w:r>
              <w:t xml:space="preserve">Civil Engineer – Full Scope Consultancy</w:t>
            </w:r>
          </w:p>
        </w:tc>
        <w:tc>
          <w:tcPr/>
          <w:p>
            <w:pPr>
              <w:pStyle w:val="Compact"/>
              <w:jc w:val="left"/>
            </w:pPr>
            <w:r>
              <w:t xml:space="preserve">Currency:</w:t>
            </w:r>
          </w:p>
        </w:tc>
        <w:tc>
          <w:tcPr/>
          <w:p>
            <w:pPr>
              <w:pStyle w:val="Compact"/>
              <w:jc w:val="left"/>
            </w:pPr>
            <w:r>
              <w:t xml:space="preserve">Saudi Riyal (SAR)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Al-Nakheel Engineering &amp; Consultancy Co. to provide a comprehensive, itemized cost breakdown for the engagement of a licensed</w:t>
      </w:r>
      <w:r>
        <w:t xml:space="preserve"> </w:t>
      </w:r>
      <w:r>
        <w:t xml:space="preserve">Civil Engineer</w:t>
      </w:r>
      <w:r>
        <w:t xml:space="preserve"> </w:t>
      </w:r>
      <w:r>
        <w:t xml:space="preserve">and associated technical team to deliver full-scope structural, geotechnical, and construction supervision services for the above-referenced project located in</w:t>
      </w:r>
      <w:r>
        <w:t xml:space="preserve"> </w:t>
      </w:r>
      <w:r>
        <w:t xml:space="preserve">Saudi Arabia Jeddah</w:t>
      </w:r>
      <w:r>
        <w:t xml:space="preserve">. This document serves as a formal commercial proposal and does not constitute a binding contract until both parties execute the definitive service agreement. All pricing is based on current market rates applicable to the Jeddah metropolitan area and complies with the regulations set forth by the Saudi Council of Engineers (SCE) and the Ministry of Municipal and Rural Affairs (MOMRA).</w:t>
      </w:r>
    </w:p>
    <w:bookmarkEnd w:id="23"/>
    <w:bookmarkStart w:id="24" w:name="scope-of-civil-engineer-services"/>
    <w:p>
      <w:pPr>
        <w:pStyle w:val="Heading2"/>
      </w:pPr>
      <w:r>
        <w:t xml:space="preserve">2. Scope of Civil Engineer Services</w:t>
      </w:r>
    </w:p>
    <w:p>
      <w:pPr>
        <w:pStyle w:val="FirstParagraph"/>
      </w:pPr>
      <w:r>
        <w:t xml:space="preserve">The</w:t>
      </w:r>
      <w:r>
        <w:t xml:space="preserve"> </w:t>
      </w:r>
      <w:r>
        <w:t xml:space="preserve">Civil Engineer</w:t>
      </w:r>
      <w:r>
        <w:t xml:space="preserve"> </w:t>
      </w:r>
      <w:r>
        <w:t xml:space="preserve">services outlined in this</w:t>
      </w:r>
      <w:r>
        <w:t xml:space="preserve"> </w:t>
      </w:r>
      <w:r>
        <w:t xml:space="preserve">Quotation Estimate</w:t>
      </w:r>
      <w:r>
        <w:t xml:space="preserve"> </w:t>
      </w:r>
      <w:r>
        <w:t xml:space="preserve">encompass the following deliverables, all to be performed in strict accordance with Saudi Building Code (SBC), local Jeddah municipal bylaws, and international engineering standards (ACI, AISC, Eurocode) as adopted in</w:t>
      </w:r>
      <w:r>
        <w:t xml:space="preserve"> </w:t>
      </w:r>
      <w:r>
        <w:t xml:space="preserve">Saudi Arabia Jeddah</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Site survey, topographic mapping, and geotechnical investigation coordination for the Jeddah project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Structural design (foundations, columns, beams, slabs, staircases) – 4-storey residential block with ground-floor commercial units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Architectural and MEP coordination drawings (AutoCAD / Revit BIM Level 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92,000.00</w:t>
            </w:r>
          </w:p>
        </w:tc>
      </w:tr>
      <w:tr>
        <w:tc>
          <w:tcPr/>
          <w:p>
            <w:pPr>
              <w:pStyle w:val="Compact"/>
              <w:jc w:val="left"/>
            </w:pPr>
            <w:r>
              <w:t xml:space="preserve">4</w:t>
            </w:r>
          </w:p>
        </w:tc>
        <w:tc>
          <w:tcPr/>
          <w:p>
            <w:pPr>
              <w:pStyle w:val="Compact"/>
              <w:jc w:val="left"/>
            </w:pPr>
            <w:r>
              <w:t xml:space="preserve">Construction supervision and quality assurance – full project duration (estimated 14 months)</w:t>
            </w:r>
          </w:p>
        </w:tc>
        <w:tc>
          <w:tcPr/>
          <w:p>
            <w:pPr>
              <w:pStyle w:val="Compact"/>
              <w:jc w:val="left"/>
            </w:pPr>
            <w:r>
              <w:t xml:space="preserve">14</w:t>
            </w:r>
          </w:p>
        </w:tc>
        <w:tc>
          <w:tcPr/>
          <w:p>
            <w:pPr>
              <w:pStyle w:val="Compact"/>
              <w:jc w:val="left"/>
            </w:pPr>
            <w:r>
              <w:t xml:space="preserve">Month</w:t>
            </w:r>
          </w:p>
        </w:tc>
        <w:tc>
          <w:tcPr/>
          <w:p>
            <w:pPr>
              <w:pStyle w:val="Compact"/>
              <w:jc w:val="left"/>
            </w:pPr>
            <w:r>
              <w:t xml:space="preserve">315,000.00</w:t>
            </w:r>
          </w:p>
        </w:tc>
      </w:tr>
      <w:tr>
        <w:tc>
          <w:tcPr/>
          <w:p>
            <w:pPr>
              <w:pStyle w:val="Compact"/>
              <w:jc w:val="left"/>
            </w:pPr>
            <w:r>
              <w:t xml:space="preserve">5</w:t>
            </w:r>
          </w:p>
        </w:tc>
        <w:tc>
          <w:tcPr/>
          <w:p>
            <w:pPr>
              <w:pStyle w:val="Compact"/>
              <w:jc w:val="left"/>
            </w:pPr>
            <w:r>
              <w:t xml:space="preserve">Material testing coordination (concrete, steel, soil) and third-party laboratory liaison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38,750.00</w:t>
            </w:r>
          </w:p>
        </w:tc>
      </w:tr>
      <w:tr>
        <w:tc>
          <w:tcPr/>
          <w:p>
            <w:pPr>
              <w:pStyle w:val="Compact"/>
              <w:jc w:val="left"/>
            </w:pPr>
            <w:r>
              <w:t xml:space="preserve">6</w:t>
            </w:r>
          </w:p>
        </w:tc>
        <w:tc>
          <w:tcPr/>
          <w:p>
            <w:pPr>
              <w:pStyle w:val="Compact"/>
              <w:jc w:val="left"/>
            </w:pPr>
            <w:r>
              <w:t xml:space="preserve">As-built documentation, final handover reports, and municipal approval submission support (Jeddah Municipality)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27,500.00</w:t>
            </w:r>
          </w:p>
        </w:tc>
      </w:tr>
      <w:tr>
        <w:tc>
          <w:tcPr/>
          <w:p>
            <w:pPr>
              <w:pStyle w:val="Compact"/>
              <w:jc w:val="left"/>
            </w:pPr>
            <w:r>
              <w:t xml:space="preserve">7</w:t>
            </w:r>
          </w:p>
        </w:tc>
        <w:tc>
          <w:tcPr/>
          <w:p>
            <w:pPr>
              <w:pStyle w:val="Compact"/>
              <w:jc w:val="left"/>
            </w:pPr>
            <w:r>
              <w:t xml:space="preserve">Project management, progress reporting, and client liaison (weekly meetings, monthly reports)</w:t>
            </w:r>
          </w:p>
        </w:tc>
        <w:tc>
          <w:tcPr/>
          <w:p>
            <w:pPr>
              <w:pStyle w:val="Compact"/>
              <w:jc w:val="left"/>
            </w:pPr>
            <w:r>
              <w:t xml:space="preserve">14</w:t>
            </w:r>
          </w:p>
        </w:tc>
        <w:tc>
          <w:tcPr/>
          <w:p>
            <w:pPr>
              <w:pStyle w:val="Compact"/>
              <w:jc w:val="left"/>
            </w:pPr>
            <w:r>
              <w:t xml:space="preserve">Month</w:t>
            </w:r>
          </w:p>
        </w:tc>
        <w:tc>
          <w:tcPr/>
          <w:p>
            <w:pPr>
              <w:pStyle w:val="Compact"/>
              <w:jc w:val="left"/>
            </w:pPr>
            <w:r>
              <w:t xml:space="preserve">56,000.00</w:t>
            </w:r>
          </w:p>
        </w:tc>
      </w:tr>
      <w:tr>
        <w:tc>
          <w:tcPr/>
          <w:p>
            <w:pPr>
              <w:pStyle w:val="Compact"/>
              <w:jc w:val="left"/>
            </w:pPr>
            <w:r>
              <w:t xml:space="preserve">8</w:t>
            </w:r>
          </w:p>
        </w:tc>
        <w:tc>
          <w:tcPr/>
          <w:p>
            <w:pPr>
              <w:pStyle w:val="Compact"/>
              <w:jc w:val="left"/>
            </w:pPr>
            <w:r>
              <w:t xml:space="preserve">Contingency allowance (5%) for unforeseen site conditions in the Jeddah coastal environment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35,237.50</w:t>
            </w:r>
          </w:p>
        </w:tc>
      </w:tr>
      <w:tr>
        <w:tc>
          <w:tcPr>
            <w:gridSpan w:val="4"/>
          </w:tcPr>
          <w:p>
            <w:pPr>
              <w:pStyle w:val="Compact"/>
              <w:jc w:val="right"/>
            </w:pPr>
            <w:r>
              <w:t xml:space="preserve">Subtotal (SAR)</w:t>
            </w:r>
          </w:p>
        </w:tc>
        <w:tc>
          <w:tcPr/>
          <w:p>
            <w:pPr>
              <w:pStyle w:val="Compact"/>
              <w:jc w:val="left"/>
            </w:pPr>
            <w:r>
              <w:t xml:space="preserve">797,987.50</w:t>
            </w:r>
          </w:p>
        </w:tc>
      </w:tr>
      <w:tr>
        <w:tc>
          <w:tcPr>
            <w:gridSpan w:val="4"/>
          </w:tcPr>
          <w:p>
            <w:pPr>
              <w:pStyle w:val="Compact"/>
              <w:jc w:val="right"/>
            </w:pPr>
            <w:r>
              <w:t xml:space="preserve">VAT @ 15% (SAR)</w:t>
            </w:r>
          </w:p>
        </w:tc>
        <w:tc>
          <w:tcPr/>
          <w:p>
            <w:pPr>
              <w:pStyle w:val="Compact"/>
              <w:jc w:val="left"/>
            </w:pPr>
            <w:r>
              <w:t xml:space="preserve">119,698.13</w:t>
            </w:r>
          </w:p>
        </w:tc>
      </w:tr>
      <w:tr>
        <w:tc>
          <w:tcPr>
            <w:gridSpan w:val="4"/>
          </w:tcPr>
          <w:p>
            <w:pPr>
              <w:pStyle w:val="Compact"/>
              <w:jc w:val="right"/>
            </w:pPr>
            <w:r>
              <w:t xml:space="preserve">GRAND TOTAL (SAR)</w:t>
            </w:r>
          </w:p>
        </w:tc>
        <w:tc>
          <w:tcPr/>
          <w:p>
            <w:pPr>
              <w:pStyle w:val="Compact"/>
              <w:jc w:val="left"/>
            </w:pPr>
            <w:r>
              <w:t xml:space="preserve">917,685.63</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pricing may be revised to reflect changes in material costs, labor rates, or regulatory updates in</w:t>
      </w:r>
      <w:r>
        <w:t xml:space="preserve"> </w:t>
      </w:r>
      <w:r>
        <w:t xml:space="preserve">Saudi Arabia Jeddah</w:t>
      </w:r>
      <w:r>
        <w:t xml:space="preserve">.</w:t>
      </w:r>
    </w:p>
    <w:p>
      <w:pPr>
        <w:numPr>
          <w:ilvl w:val="0"/>
          <w:numId w:val="1001"/>
        </w:numPr>
        <w:pStyle w:val="Compact"/>
      </w:pPr>
      <w:r>
        <w:rPr>
          <w:bCs/>
          <w:b/>
        </w:rPr>
        <w:t xml:space="preserve">Payment Schedule:</w:t>
      </w:r>
      <w:r>
        <w:t xml:space="preserve"> </w:t>
      </w:r>
      <w:r>
        <w:t xml:space="preserve">25% advance upon contract signing; 40% upon completion of structural design and approval; 25% upon 75% construction progress; 10% upon final handover and municipal sign-off. All payments are due within fourteen (14) days of invoice issuance.</w:t>
      </w:r>
    </w:p>
    <w:p>
      <w:pPr>
        <w:numPr>
          <w:ilvl w:val="0"/>
          <w:numId w:val="1001"/>
        </w:numPr>
        <w:pStyle w:val="Compact"/>
      </w:pPr>
      <w:r>
        <w:rPr>
          <w:bCs/>
          <w:b/>
        </w:rPr>
        <w:t xml:space="preserve">Licensing &amp; Compliance:</w:t>
      </w:r>
      <w:r>
        <w:t xml:space="preserve"> </w:t>
      </w:r>
      <w:r>
        <w:t xml:space="preserve">The lead</w:t>
      </w:r>
      <w:r>
        <w:t xml:space="preserve"> </w:t>
      </w:r>
      <w:r>
        <w:t xml:space="preserve">Civil Engineer</w:t>
      </w:r>
      <w:r>
        <w:t xml:space="preserve"> </w:t>
      </w:r>
      <w:r>
        <w:t xml:space="preserve">holds a valid Class-A license from the Saudi Council of Engineers and is registered with the Jeddah Chamber of Commerce. All sub-consultants and technicians shall maintain current professional credentials as required by Saudi law.</w:t>
      </w:r>
    </w:p>
    <w:p>
      <w:pPr>
        <w:numPr>
          <w:ilvl w:val="0"/>
          <w:numId w:val="1001"/>
        </w:numPr>
        <w:pStyle w:val="Compact"/>
      </w:pPr>
      <w:r>
        <w:rPr>
          <w:bCs/>
          <w:b/>
        </w:rPr>
        <w:t xml:space="preserve">Change Orders:</w:t>
      </w:r>
      <w:r>
        <w:t xml:space="preserve"> </w:t>
      </w:r>
      <w:r>
        <w:t xml:space="preserve">Any scope modification beyond the defined deliverables in this</w:t>
      </w:r>
      <w:r>
        <w:t xml:space="preserve"> </w:t>
      </w:r>
      <w:r>
        <w:t xml:space="preserve">Quotation Estimate</w:t>
      </w:r>
      <w:r>
        <w:t xml:space="preserve"> </w:t>
      </w:r>
      <w:r>
        <w:t xml:space="preserve">shall be subject to a written change order, with additional costs assessed at the prevailing</w:t>
      </w:r>
      <w:r>
        <w:t xml:space="preserve"> </w:t>
      </w:r>
      <w:r>
        <w:t xml:space="preserve">Civil Engineer</w:t>
      </w:r>
      <w:r>
        <w:t xml:space="preserve"> </w:t>
      </w:r>
      <w:r>
        <w:t xml:space="preserve">day-rate of SAR 3,500 per day (eight-hour working day) plus applicable overheads.</w:t>
      </w:r>
    </w:p>
    <w:p>
      <w:pPr>
        <w:numPr>
          <w:ilvl w:val="0"/>
          <w:numId w:val="1001"/>
        </w:numPr>
        <w:pStyle w:val="Compact"/>
      </w:pPr>
      <w:r>
        <w:rPr>
          <w:bCs/>
          <w:b/>
        </w:rPr>
        <w:t xml:space="preserve">Insurance &amp; Liability:</w:t>
      </w:r>
      <w:r>
        <w:t xml:space="preserve"> </w:t>
      </w:r>
      <w:r>
        <w:t xml:space="preserve">The</w:t>
      </w:r>
      <w:r>
        <w:t xml:space="preserve"> </w:t>
      </w:r>
      <w:r>
        <w:t xml:space="preserve">Civil Engineer</w:t>
      </w:r>
      <w:r>
        <w:t xml:space="preserve"> </w:t>
      </w:r>
      <w:r>
        <w:t xml:space="preserve">firm shall maintain professional indemnity insurance of not less than SAR 5,000,000 and third-party liability coverage throughout the project duration in</w:t>
      </w:r>
      <w:r>
        <w:t xml:space="preserve"> </w:t>
      </w:r>
      <w:r>
        <w:t xml:space="preserve">Saudi Arabia Jeddah</w:t>
      </w:r>
      <w:r>
        <w:t xml:space="preserve">.</w:t>
      </w:r>
    </w:p>
    <w:p>
      <w:pPr>
        <w:numPr>
          <w:ilvl w:val="0"/>
          <w:numId w:val="1001"/>
        </w:numPr>
        <w:pStyle w:val="Compact"/>
      </w:pPr>
      <w:r>
        <w:rPr>
          <w:bCs/>
          <w:b/>
        </w:rPr>
        <w:t xml:space="preserve">Confidentiality:</w:t>
      </w:r>
      <w:r>
        <w:t xml:space="preserve"> </w:t>
      </w:r>
      <w:r>
        <w:t xml:space="preserve">All project data, drawings, and site information shared in connection with this engagement shall be treated as confidential and shall not be disclosed to third parties without written consent from the client.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Kingdom of Saudi Arabia. Disputes shall be resolved through the Jeddah Commercial Court or, at the client's election, through arbitration under the Saudi Center for Commercial Arbitration (SCCA).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events common to the Jeddah coastal region, government-mandated work stoppages, or pandemics.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Civil Engineer</w:t>
      </w:r>
      <w:r>
        <w:t xml:space="preserve"> </w:t>
      </w:r>
      <w:r>
        <w:t xml:space="preserve">services in</w:t>
      </w:r>
      <w:r>
        <w:t xml:space="preserve"> </w:t>
      </w:r>
      <w:r>
        <w:t xml:space="preserve">Saudi Arabia Jeddah</w:t>
      </w:r>
      <w:r>
        <w:t xml:space="preserve">. This acceptance does not constitute a final contract; a separate Service Agreement shall be executed within ten (10) business days of acceptance.</w:t>
      </w:r>
    </w:p>
    <w:p>
      <w:pPr>
        <w:pStyle w:val="BodyText"/>
      </w:pPr>
      <w:r>
        <w:rPr>
          <w:bCs/>
          <w:b/>
        </w:rPr>
        <w:t xml:space="preserve">For Al-Nakheel Engineering &amp; Consultancy Co.</w:t>
      </w:r>
      <w:r>
        <w:br/>
      </w:r>
      <w:r>
        <w:t xml:space="preserve">Name: Eng. Khalid Al-Mutairi</w:t>
      </w:r>
      <w:r>
        <w:br/>
      </w:r>
      <w:r>
        <w:t xml:space="preserve">Title: Lead Civil Engineer / Project Director</w:t>
      </w:r>
      <w:r>
        <w:br/>
      </w:r>
      <w:r>
        <w:t xml:space="preserve">Date: _______________</w:t>
      </w:r>
    </w:p>
    <w:p>
      <w:pPr>
        <w:pStyle w:val="BodyText"/>
      </w:pPr>
      <w:r>
        <w:rPr>
          <w:bCs/>
          <w:b/>
        </w:rPr>
        <w:t xml:space="preserve">For the Client / Project Owner</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named client and project in Saudi Arabia Jeddah. It may not be reproduced, distributed, or used for any other purpose without the prior written consent of Al-Nakheel Engineering &amp; Consultancy Co. All amounts are in Saudi Riyal (SAR) and are inclusive of all applicable local taxes unless otherwise stated. The Civil Engineer services described herein are subject to availability of the designated technical team and site access conditions.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Saudi Arabia Jeddah</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