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p>
      <w:pPr>
        <w:pStyle w:val="FirstParagraph"/>
      </w:pPr>
      <w:r>
        <w:t xml:space="preserve">Document No: QTE-THB-2025-0472 | Date: 15 June 2025 | Valid Until: 15 July 2025</w:t>
      </w:r>
    </w:p>
    <w:bookmarkStart w:id="20" w:name="quotation-estimate"/>
    <w:p>
      <w:pPr>
        <w:pStyle w:val="Heading1"/>
      </w:pPr>
      <w:r>
        <w:t xml:space="preserve">Quotation Estimate</w:t>
      </w:r>
    </w:p>
    <w:p>
      <w:pPr>
        <w:pStyle w:val="FirstParagraph"/>
      </w:pPr>
      <w:r>
        <w:t xml:space="preserve">Professional Civil Engineer Services — Thailand Bangkok</w:t>
      </w:r>
    </w:p>
    <w:bookmarkEnd w:id="20"/>
    <w:p>
      <w:pPr>
        <w:pStyle w:val="BodyText"/>
      </w:pPr>
      <w:r>
        <w:rPr>
          <w:bCs/>
          <w:b/>
        </w:rPr>
        <w:t xml:space="preserve">Prepared By:</w:t>
      </w:r>
      <w:r>
        <w:br/>
      </w:r>
      <w:r>
        <w:t xml:space="preserve">Chaiyaphum Structural &amp; Civil Engineering Co., Ltd.</w:t>
      </w:r>
      <w:r>
        <w:br/>
      </w:r>
      <w:r>
        <w:t xml:space="preserve">88/12 Sukhumvit Road, Klongtoey, Watthana</w:t>
      </w:r>
      <w:r>
        <w:br/>
      </w:r>
      <w:r>
        <w:t xml:space="preserve">Bangkok 10110, Thailand</w:t>
      </w:r>
      <w:r>
        <w:br/>
      </w:r>
      <w:r>
        <w:t xml:space="preserve">Tel: +66 2 255 8890 | Email: info@chaiyaphum-civil.co.th</w:t>
      </w:r>
      <w:r>
        <w:br/>
      </w:r>
      <w:r>
        <w:t xml:space="preserve">License No: 1012345 (Civil Engineer, Class 1)</w:t>
      </w:r>
    </w:p>
    <w:p>
      <w:pPr>
        <w:pStyle w:val="BodyText"/>
      </w:pPr>
      <w:r>
        <w:rPr>
          <w:bCs/>
          <w:b/>
        </w:rPr>
        <w:t xml:space="preserve">Prepared For:</w:t>
      </w:r>
      <w:r>
        <w:br/>
      </w:r>
      <w:r>
        <w:t xml:space="preserve">Siam Riverside Development Group Co., Ltd.</w:t>
      </w:r>
      <w:r>
        <w:br/>
      </w:r>
      <w:r>
        <w:t xml:space="preserve">45 Rama IV Road, Bangrak</w:t>
      </w:r>
      <w:r>
        <w:br/>
      </w:r>
      <w:r>
        <w:t xml:space="preserve">Bangkok 10500, Thailand</w:t>
      </w:r>
      <w:r>
        <w:br/>
      </w:r>
      <w:r>
        <w:t xml:space="preserve">Attn: Mr. Anan Chaiyasit, Project Director</w:t>
      </w:r>
      <w:r>
        <w:br/>
      </w:r>
      <w:r>
        <w:t xml:space="preserve">Tel: +66 2 678 4421</w:t>
      </w:r>
    </w:p>
    <w:bookmarkStart w:id="21" w:name="project-overview"/>
    <w:p>
      <w:pPr>
        <w:pStyle w:val="Heading2"/>
      </w:pPr>
      <w:r>
        <w:t xml:space="preserve">1. Project Overview</w:t>
      </w:r>
    </w:p>
    <w:p>
      <w:pPr>
        <w:pStyle w:val="FirstParagraph"/>
      </w:pPr>
      <w:r>
        <w:t xml:space="preserve">This</w:t>
      </w:r>
      <w:r>
        <w:t xml:space="preserve"> </w:t>
      </w:r>
      <w:r>
        <w:t xml:space="preserve">Quotation Estimate</w:t>
      </w:r>
      <w:r>
        <w:t xml:space="preserve"> </w:t>
      </w:r>
      <w:r>
        <w:t xml:space="preserve">is issued by Chaiyaphum Structural &amp; Civil Engineering Co., Ltd. to Siam Riverside Development Group Co., Ltd. for the provision of comprehensive</w:t>
      </w:r>
      <w:r>
        <w:t xml:space="preserve"> </w:t>
      </w:r>
      <w:r>
        <w:t xml:space="preserve">Civil Engineer</w:t>
      </w:r>
      <w:r>
        <w:t xml:space="preserve"> </w:t>
      </w:r>
      <w:r>
        <w:t xml:space="preserve">services related to the design, structural assessment, and construction supervision of a 28-storey mixed-use residential and commercial building located in the Khlong Toei district of</w:t>
      </w:r>
      <w:r>
        <w:t xml:space="preserve"> </w:t>
      </w:r>
      <w:r>
        <w:t xml:space="preserve">Thailand Bangkok</w:t>
      </w:r>
      <w:r>
        <w:t xml:space="preserve">. The project site is situated along the Chao Phraya River corridor, requiring specialized geotechnical and hydraulic engineering considerations in accordance with the Bangkok Metropolitan Administration (BMA) building codes and the Thai Building Control Act B.E. 2522 (1979) as amended.</w:t>
      </w:r>
    </w:p>
    <w:p>
      <w:pPr>
        <w:pStyle w:val="BodyText"/>
      </w:pPr>
      <w:r>
        <w:t xml:space="preserve">The scope of this</w:t>
      </w:r>
      <w:r>
        <w:t xml:space="preserve"> </w:t>
      </w:r>
      <w:r>
        <w:t xml:space="preserve">Quotation Estimate</w:t>
      </w:r>
      <w:r>
        <w:t xml:space="preserve"> </w:t>
      </w:r>
      <w:r>
        <w:t xml:space="preserve">encompasses all phases of the</w:t>
      </w:r>
      <w:r>
        <w:t xml:space="preserve"> </w:t>
      </w:r>
      <w:r>
        <w:t xml:space="preserve">Civil Engineer</w:t>
      </w:r>
      <w:r>
        <w:t xml:space="preserve"> </w:t>
      </w:r>
      <w:r>
        <w:t xml:space="preserve">engagement, from initial site investigation and feasibility studies through to final as-built documentation and handover. All services shall be delivered in strict compliance with the Thai National Structural Code, IS 800 (Thai Standard for Steel Structures), IS 2712 (Thai Standard for Concrete Structures), and the specific zoning regulations of the Bangkok Metropolitan Administration applicable to the project location in</w:t>
      </w:r>
      <w:r>
        <w:t xml:space="preserve"> </w:t>
      </w:r>
      <w:r>
        <w:t xml:space="preserve">Thailand Bangkok</w:t>
      </w:r>
      <w:r>
        <w:t xml:space="preserve">.</w:t>
      </w:r>
    </w:p>
    <w:bookmarkEnd w:id="21"/>
    <w:bookmarkStart w:id="22" w:name="scope-of-civil-engineer-services"/>
    <w:p>
      <w:pPr>
        <w:pStyle w:val="Heading2"/>
      </w:pPr>
      <w:r>
        <w:t xml:space="preserve">2. Scope of Civil Engineer Services</w:t>
      </w:r>
    </w:p>
    <w:p>
      <w:pPr>
        <w:pStyle w:val="FirstParagraph"/>
      </w:pPr>
      <w:r>
        <w:t xml:space="preserve">The following</w:t>
      </w:r>
      <w:r>
        <w:t xml:space="preserve"> </w:t>
      </w:r>
      <w:r>
        <w:t xml:space="preserve">Civil Engineer</w:t>
      </w:r>
      <w:r>
        <w:t xml:space="preserve"> </w:t>
      </w:r>
      <w:r>
        <w:t xml:space="preserve">services are included in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Deliverable</w:t>
            </w:r>
          </w:p>
        </w:tc>
        <w:tc>
          <w:tcPr/>
          <w:p>
            <w:pPr>
              <w:pStyle w:val="Compact"/>
              <w:jc w:val="left"/>
            </w:pPr>
            <w:r>
              <w:t xml:space="preserve">Unit</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Geotechnical site investigation and soil analysis for the project location in Khlong Toei, Bangkok, including borehole drilling (minimum 6 boreholes to 30m depth) and laboratory testing per Thai Standard TSI 13-2558</w:t>
            </w:r>
          </w:p>
        </w:tc>
        <w:tc>
          <w:tcPr/>
          <w:p>
            <w:pPr>
              <w:pStyle w:val="Compact"/>
              <w:jc w:val="left"/>
            </w:pPr>
            <w:r>
              <w:t xml:space="preserve">4 weeks / Report</w:t>
            </w:r>
          </w:p>
        </w:tc>
        <w:tc>
          <w:tcPr/>
          <w:p>
            <w:pPr>
              <w:pStyle w:val="Compact"/>
              <w:jc w:val="left"/>
            </w:pPr>
            <w:r>
              <w:t xml:space="preserve">Lump Sum</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Structural design of foundation system (bored piles and pile caps), ground floor to roof, including seismic design per TBC 1016-2554 for Bangkok seismic zone</w:t>
            </w:r>
          </w:p>
        </w:tc>
        <w:tc>
          <w:tcPr/>
          <w:p>
            <w:pPr>
              <w:pStyle w:val="Compact"/>
              <w:jc w:val="left"/>
            </w:pPr>
            <w:r>
              <w:t xml:space="preserve">12 weeks / Drawings &amp; Calculations</w:t>
            </w:r>
          </w:p>
        </w:tc>
        <w:tc>
          <w:tcPr/>
          <w:p>
            <w:pPr>
              <w:pStyle w:val="Compact"/>
              <w:jc w:val="left"/>
            </w:pPr>
            <w:r>
              <w:t xml:space="preserve">Lump Sum</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Design of reinforced concrete superstructure including columns, beams, slabs, shear walls, and stair cores for 28 storeys</w:t>
            </w:r>
          </w:p>
        </w:tc>
        <w:tc>
          <w:tcPr/>
          <w:p>
            <w:pPr>
              <w:pStyle w:val="Compact"/>
              <w:jc w:val="left"/>
            </w:pPr>
            <w:r>
              <w:t xml:space="preserve">10 weeks / Drawings &amp; Calculations</w:t>
            </w:r>
          </w:p>
        </w:tc>
        <w:tc>
          <w:tcPr/>
          <w:p>
            <w:pPr>
              <w:pStyle w:val="Compact"/>
              <w:jc w:val="left"/>
            </w:pPr>
            <w:r>
              <w:t xml:space="preserve">Lump Sum</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Design of underground parking structure (3 levels, approximately 12,000 sqm) including retaining walls, drainage, and waterproofing specifications</w:t>
            </w:r>
          </w:p>
        </w:tc>
        <w:tc>
          <w:tcPr/>
          <w:p>
            <w:pPr>
              <w:pStyle w:val="Compact"/>
              <w:jc w:val="left"/>
            </w:pPr>
            <w:r>
              <w:t xml:space="preserve">8 weeks / Drawings &amp; Calculations</w:t>
            </w:r>
          </w:p>
        </w:tc>
        <w:tc>
          <w:tcPr/>
          <w:p>
            <w:pPr>
              <w:pStyle w:val="Compact"/>
              <w:jc w:val="left"/>
            </w:pPr>
            <w:r>
              <w:t xml:space="preserve">Lump Sum</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Construction supervision and quality assurance by a licensed Civil Engineer (Class 1) on-site, including weekly progress reports, material inspection, and non-conformance management</w:t>
            </w:r>
          </w:p>
        </w:tc>
        <w:tc>
          <w:tcPr/>
          <w:p>
            <w:pPr>
              <w:pStyle w:val="Compact"/>
              <w:jc w:val="left"/>
            </w:pPr>
            <w:r>
              <w:t xml:space="preserve">36 months / Ongoing</w:t>
            </w:r>
          </w:p>
        </w:tc>
        <w:tc>
          <w:tcPr/>
          <w:p>
            <w:pPr>
              <w:pStyle w:val="Compact"/>
              <w:jc w:val="left"/>
            </w:pPr>
            <w:r>
              <w:t xml:space="preserve">Monthly</w:t>
            </w:r>
          </w:p>
        </w:tc>
        <w:tc>
          <w:tcPr/>
          <w:p>
            <w:pPr>
              <w:pStyle w:val="Compact"/>
              <w:jc w:val="left"/>
            </w:pPr>
            <w:r>
              <w:t xml:space="preserve">380,000 / month</w:t>
            </w:r>
          </w:p>
        </w:tc>
      </w:tr>
      <w:tr>
        <w:tc>
          <w:tcPr/>
          <w:p>
            <w:pPr>
              <w:pStyle w:val="Compact"/>
              <w:jc w:val="left"/>
            </w:pPr>
            <w:r>
              <w:t xml:space="preserve">6</w:t>
            </w:r>
          </w:p>
        </w:tc>
        <w:tc>
          <w:tcPr/>
          <w:p>
            <w:pPr>
              <w:pStyle w:val="Compact"/>
              <w:jc w:val="left"/>
            </w:pPr>
            <w:r>
              <w:t xml:space="preserve">Structural health monitoring and post-construction assessment (12-month period) including crack monitoring, settlement surveys, and load testing</w:t>
            </w:r>
          </w:p>
        </w:tc>
        <w:tc>
          <w:tcPr/>
          <w:p>
            <w:pPr>
              <w:pStyle w:val="Compact"/>
              <w:jc w:val="left"/>
            </w:pPr>
            <w:r>
              <w:t xml:space="preserve">12 months / Reports</w:t>
            </w:r>
          </w:p>
        </w:tc>
        <w:tc>
          <w:tcPr/>
          <w:p>
            <w:pPr>
              <w:pStyle w:val="Compact"/>
              <w:jc w:val="left"/>
            </w:pPr>
            <w:r>
              <w:t xml:space="preserve">Lump Sum</w:t>
            </w:r>
          </w:p>
        </w:tc>
        <w:tc>
          <w:tcPr/>
          <w:p>
            <w:pPr>
              <w:pStyle w:val="Compact"/>
              <w:jc w:val="left"/>
            </w:pPr>
            <w:r>
              <w:t xml:space="preserve">950,000</w:t>
            </w:r>
          </w:p>
        </w:tc>
      </w:tr>
      <w:tr>
        <w:tc>
          <w:tcPr/>
          <w:p>
            <w:pPr>
              <w:pStyle w:val="Compact"/>
              <w:jc w:val="left"/>
            </w:pPr>
            <w:r>
              <w:t xml:space="preserve">7</w:t>
            </w:r>
          </w:p>
        </w:tc>
        <w:tc>
          <w:tcPr/>
          <w:p>
            <w:pPr>
              <w:pStyle w:val="Compact"/>
              <w:jc w:val="left"/>
            </w:pPr>
            <w:r>
              <w:t xml:space="preserve">Preparation of BMA building permit application documents, structural safety certification, and all regulatory submissions required by the Bangkok Metropolitan Administration</w:t>
            </w:r>
          </w:p>
        </w:tc>
        <w:tc>
          <w:tcPr/>
          <w:p>
            <w:pPr>
              <w:pStyle w:val="Compact"/>
              <w:jc w:val="left"/>
            </w:pPr>
            <w:r>
              <w:t xml:space="preserve">6 weeks / Submission Package</w:t>
            </w:r>
          </w:p>
        </w:tc>
        <w:tc>
          <w:tcPr/>
          <w:p>
            <w:pPr>
              <w:pStyle w:val="Compact"/>
              <w:jc w:val="left"/>
            </w:pPr>
            <w:r>
              <w:t xml:space="preserve">Lump Sum</w:t>
            </w:r>
          </w:p>
        </w:tc>
        <w:tc>
          <w:tcPr/>
          <w:p>
            <w:pPr>
              <w:pStyle w:val="Compact"/>
              <w:jc w:val="left"/>
            </w:pPr>
            <w:r>
              <w:t xml:space="preserve">480,000</w:t>
            </w:r>
          </w:p>
        </w:tc>
      </w:tr>
      <w:tr>
        <w:tc>
          <w:tcPr/>
          <w:p>
            <w:pPr>
              <w:pStyle w:val="Compact"/>
              <w:jc w:val="left"/>
            </w:pPr>
            <w:r>
              <w:t xml:space="preserve">8</w:t>
            </w:r>
          </w:p>
        </w:tc>
        <w:tc>
          <w:tcPr/>
          <w:p>
            <w:pPr>
              <w:pStyle w:val="Compact"/>
              <w:jc w:val="left"/>
            </w:pPr>
            <w:r>
              <w:t xml:space="preserve">As-built documentation, final structural certification, and handover package including O&amp;M manuals for structural components</w:t>
            </w:r>
          </w:p>
        </w:tc>
        <w:tc>
          <w:tcPr/>
          <w:p>
            <w:pPr>
              <w:pStyle w:val="Compact"/>
              <w:jc w:val="left"/>
            </w:pPr>
            <w:r>
              <w:t xml:space="preserve">4 weeks / Final Package</w:t>
            </w:r>
          </w:p>
        </w:tc>
        <w:tc>
          <w:tcPr/>
          <w:p>
            <w:pPr>
              <w:pStyle w:val="Compact"/>
              <w:jc w:val="left"/>
            </w:pPr>
            <w:r>
              <w:t xml:space="preserve">Lump Sum</w:t>
            </w:r>
          </w:p>
        </w:tc>
        <w:tc>
          <w:tcPr/>
          <w:p>
            <w:pPr>
              <w:pStyle w:val="Compact"/>
              <w:jc w:val="left"/>
            </w:pPr>
            <w:r>
              <w:t xml:space="preserve">320,000</w:t>
            </w:r>
          </w:p>
        </w:tc>
      </w:tr>
    </w:tbl>
    <w:bookmarkEnd w:id="22"/>
    <w:bookmarkStart w:id="23"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(THB)</w:t>
            </w:r>
          </w:p>
        </w:tc>
      </w:tr>
      <w:tr>
        <w:tc>
          <w:tcPr/>
          <w:p>
            <w:pPr>
              <w:pStyle w:val="Compact"/>
              <w:jc w:val="left"/>
            </w:pPr>
            <w:r>
              <w:t xml:space="preserve">Items 1 – 4 (Design &amp; Investigation Phase)</w:t>
            </w:r>
          </w:p>
        </w:tc>
        <w:tc>
          <w:tcPr/>
          <w:p>
            <w:pPr>
              <w:pStyle w:val="Compact"/>
              <w:jc w:val="left"/>
            </w:pPr>
            <w:r>
              <w:t xml:space="preserve">12,050,000</w:t>
            </w:r>
          </w:p>
        </w:tc>
      </w:tr>
      <w:tr>
        <w:tc>
          <w:tcPr/>
          <w:p>
            <w:pPr>
              <w:pStyle w:val="Compact"/>
              <w:jc w:val="left"/>
            </w:pPr>
            <w:r>
              <w:t xml:space="preserve">Item 5 (Construction Supervision — 36 months × 380,000)</w:t>
            </w:r>
          </w:p>
        </w:tc>
        <w:tc>
          <w:tcPr/>
          <w:p>
            <w:pPr>
              <w:pStyle w:val="Compact"/>
              <w:jc w:val="left"/>
            </w:pPr>
            <w:r>
              <w:t xml:space="preserve">13,680,000</w:t>
            </w:r>
          </w:p>
        </w:tc>
      </w:tr>
      <w:tr>
        <w:tc>
          <w:tcPr/>
          <w:p>
            <w:pPr>
              <w:pStyle w:val="Compact"/>
              <w:jc w:val="left"/>
            </w:pPr>
            <w:r>
              <w:t xml:space="preserve">Items 6 – 8 (Post-Construction &amp; Documentation)</w:t>
            </w:r>
          </w:p>
        </w:tc>
        <w:tc>
          <w:tcPr/>
          <w:p>
            <w:pPr>
              <w:pStyle w:val="Compact"/>
              <w:jc w:val="left"/>
            </w:pPr>
            <w:r>
              <w:t xml:space="preserve">1,750,000</w:t>
            </w:r>
          </w:p>
        </w:tc>
      </w:tr>
      <w:tr>
        <w:tc>
          <w:tcPr/>
          <w:p>
            <w:pPr>
              <w:pStyle w:val="Compact"/>
              <w:jc w:val="left"/>
            </w:pPr>
            <w:r>
              <w:t xml:space="preserve">Subtotal</w:t>
            </w:r>
          </w:p>
        </w:tc>
        <w:tc>
          <w:tcPr/>
          <w:p>
            <w:pPr>
              <w:pStyle w:val="Compact"/>
              <w:jc w:val="left"/>
            </w:pPr>
            <w:r>
              <w:t xml:space="preserve">27,480,000</w:t>
            </w:r>
          </w:p>
        </w:tc>
      </w:tr>
      <w:tr>
        <w:tc>
          <w:tcPr/>
          <w:p>
            <w:pPr>
              <w:pStyle w:val="Compact"/>
              <w:jc w:val="left"/>
            </w:pPr>
            <w:r>
              <w:t xml:space="preserve">VAT (7%)</w:t>
            </w:r>
          </w:p>
        </w:tc>
        <w:tc>
          <w:tcPr/>
          <w:p>
            <w:pPr>
              <w:pStyle w:val="Compact"/>
              <w:jc w:val="left"/>
            </w:pPr>
            <w:r>
              <w:t xml:space="preserve">1,923,600</w:t>
            </w:r>
          </w:p>
        </w:tc>
      </w:tr>
      <w:tr>
        <w:tc>
          <w:tcPr/>
          <w:p>
            <w:pPr>
              <w:pStyle w:val="Compact"/>
              <w:jc w:val="left"/>
            </w:pPr>
            <w:r>
              <w:t xml:space="preserve">Total Quotation Estimate (THB)</w:t>
            </w:r>
          </w:p>
        </w:tc>
        <w:tc>
          <w:tcPr/>
          <w:p>
            <w:pPr>
              <w:pStyle w:val="Compact"/>
              <w:jc w:val="left"/>
            </w:pPr>
            <w:r>
              <w:t xml:space="preserve">29,403,600</w:t>
            </w:r>
          </w:p>
        </w:tc>
      </w:tr>
    </w:tbl>
    <w:p>
      <w:pPr>
        <w:pStyle w:val="BodyText"/>
      </w:pPr>
      <w:r>
        <w:rPr>
          <w:bCs/>
          <w:b/>
        </w:rPr>
        <w:t xml:space="preserve">Note:</w:t>
      </w:r>
      <w:r>
        <w:t xml:space="preserve"> </w:t>
      </w:r>
      <w:r>
        <w:t xml:space="preserve">This Quotation Estimate is valid for 30 calendar days from the date of issue. All prices are quoted in Thai Baht (THB) and are inclusive of the Civil Engineer's professional liability insurance. Any change in scope, site conditions, or regulatory requirements in Thailand Bangkok may necessitate a revised Quotation Estimate, which shall be issued as a formal variation order.</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a firm offer for the Civil Engineer services described herein and is subject to acceptance in writing by the Client within the validity period stated above.</w:t>
      </w:r>
    </w:p>
    <w:p>
      <w:pPr>
        <w:numPr>
          <w:ilvl w:val="0"/>
          <w:numId w:val="1001"/>
        </w:numPr>
        <w:pStyle w:val="Compact"/>
      </w:pPr>
      <w:r>
        <w:t xml:space="preserve">Payment terms: 30% advance upon contract signing, 40% upon completion of all design deliverables, 20% upon substantial completion of construction, and 10% upon final handover and certification.</w:t>
      </w:r>
    </w:p>
    <w:p>
      <w:pPr>
        <w:numPr>
          <w:ilvl w:val="0"/>
          <w:numId w:val="1001"/>
        </w:numPr>
        <w:pStyle w:val="Compact"/>
      </w:pPr>
      <w:r>
        <w:t xml:space="preserve">The Civil Engineer shall maintain professional indemnity insurance with a minimum coverage of THB 50,000,000 throughout the duration of the engagement.</w:t>
      </w:r>
    </w:p>
    <w:p>
      <w:pPr>
        <w:numPr>
          <w:ilvl w:val="0"/>
          <w:numId w:val="1001"/>
        </w:numPr>
        <w:pStyle w:val="Compact"/>
      </w:pPr>
      <w:r>
        <w:t xml:space="preserve">All structural designs and calculations shall be stamped and signed by a licensed Civil Engineer registered with the Thai Council of Engineers (TCE) and shall comply with all applicable regulations of the Bangkok Metropolitan Administration.</w:t>
      </w:r>
    </w:p>
    <w:p>
      <w:pPr>
        <w:numPr>
          <w:ilvl w:val="0"/>
          <w:numId w:val="1001"/>
        </w:numPr>
        <w:pStyle w:val="Compact"/>
      </w:pPr>
      <w:r>
        <w:t xml:space="preserve">The Client shall provide timely access to the project site in Thailand Bangkok and shall furnish all architectural, mechanical, and electrical drawings required for the Civil Engineer to proceed with structural design within the agreed timelines.</w:t>
      </w:r>
    </w:p>
    <w:p>
      <w:pPr>
        <w:numPr>
          <w:ilvl w:val="0"/>
          <w:numId w:val="1001"/>
        </w:numPr>
        <w:pStyle w:val="Compact"/>
      </w:pPr>
      <w:r>
        <w:t xml:space="preserve">Any delay in Client-provided information exceeding 10 working days shall entitle the Civil Engineer to a corresponding extension of the project schedule without additional cost.</w:t>
      </w:r>
    </w:p>
    <w:p>
      <w:pPr>
        <w:numPr>
          <w:ilvl w:val="0"/>
          <w:numId w:val="1001"/>
        </w:numPr>
        <w:pStyle w:val="Compact"/>
      </w:pPr>
      <w:r>
        <w:t xml:space="preserve">This Quotation Estimate does not include costs for third-party testing laboratories, government permit fees, or any works outside the defined scope of Civil Engineer services.</w:t>
      </w:r>
    </w:p>
    <w:p>
      <w:pPr>
        <w:numPr>
          <w:ilvl w:val="0"/>
          <w:numId w:val="1001"/>
        </w:numPr>
        <w:pStyle w:val="Compact"/>
      </w:pPr>
      <w:r>
        <w:t xml:space="preserve">Disputes arising from this Quotation Estimate or the resulting contract shall be resolved in accordance with the Thai Civil and Commercial Code and shall be subject to the jurisdiction of the courts in Bangkok, Thailand.</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 Quotation Estimate for the Civil Engineer services to be performed in Thailand Bangkok. The undersigned Civil Engineer confirms that all services described herein shall be executed in accordance with the highest standards of professional engineering practice as recognized by the Thai Council of Engineers.</w:t>
      </w:r>
    </w:p>
    <w:p>
      <w:pPr>
        <w:pStyle w:val="BodyText"/>
      </w:pPr>
      <w:r>
        <w:rPr>
          <w:bCs/>
          <w:b/>
        </w:rPr>
        <w:t xml:space="preserve">For and on behalf of:</w:t>
      </w:r>
      <w:r>
        <w:br/>
      </w:r>
      <w:r>
        <w:t xml:space="preserve">Chaiyaphum Structural &amp; Civil Engineering Co., Ltd.</w:t>
      </w:r>
    </w:p>
    <w:p>
      <w:pPr>
        <w:pStyle w:val="BodyText"/>
      </w:pPr>
      <w:r>
        <w:rPr>
          <w:bCs/>
          <w:b/>
        </w:rPr>
        <w:t xml:space="preserve">Eng. Chaiyaphum Rattanakorn</w:t>
      </w:r>
      <w:r>
        <w:br/>
      </w:r>
      <w:r>
        <w:t xml:space="preserve">Licensed Civil Engineer, Class 1</w:t>
      </w:r>
      <w:r>
        <w:br/>
      </w:r>
      <w:r>
        <w:t xml:space="preserve">TCE License No: 1012345</w:t>
      </w:r>
      <w:r>
        <w:br/>
      </w:r>
      <w:r>
        <w:t xml:space="preserve">Date: _______________</w:t>
      </w:r>
    </w:p>
    <w:p>
      <w:pPr>
        <w:pStyle w:val="BodyText"/>
      </w:pPr>
      <w:r>
        <w:rPr>
          <w:bCs/>
          <w:b/>
        </w:rPr>
        <w:t xml:space="preserve">For and on behalf of:</w:t>
      </w:r>
      <w:r>
        <w:br/>
      </w:r>
      <w:r>
        <w:t xml:space="preserve">Siam Riverside Development Group Co., Ltd.</w:t>
      </w:r>
    </w:p>
    <w:p>
      <w:pPr>
        <w:pStyle w:val="BodyText"/>
      </w:pPr>
      <w:r>
        <w:rPr>
          <w:bCs/>
          <w:b/>
        </w:rPr>
        <w:t xml:space="preserve">Mr. Anan Chaiyasit</w:t>
      </w:r>
      <w:r>
        <w:br/>
      </w:r>
      <w:r>
        <w:t xml:space="preserve">Project Director</w:t>
      </w:r>
      <w:r>
        <w:br/>
      </w:r>
      <w:r>
        <w:t xml:space="preserve">Date: _______________</w:t>
      </w:r>
    </w:p>
    <w:p>
      <w:pPr>
        <w:pStyle w:val="BodyText"/>
      </w:pPr>
      <w:r>
        <w:t xml:space="preserve">— End of Quotation Estimate QTE-THB-2025-0472 —</w:t>
      </w:r>
      <w:r>
        <w:br/>
      </w:r>
      <w:r>
        <w:t xml:space="preserve">This document is confidential and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Thailand Bangkok</dc:title>
  <dc:creator/>
  <dc:language>en</dc:language>
  <cp:keywords/>
  <dcterms:created xsi:type="dcterms:W3CDTF">2026-10-10T04:33:29Z</dcterms:created>
  <dcterms:modified xsi:type="dcterms:W3CDTF">2026-10-10T04:33:29Z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