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Bosphorus Civil Engineering &amp; Consulting Ltd.</w:t>
      </w:r>
    </w:p>
    <w:p>
      <w:pPr>
        <w:pStyle w:val="BodyText"/>
      </w:pPr>
      <w:r>
        <w:t xml:space="preserve">Address: Levent Mah. Büyükdere Cad. No: 142, 34394 Şişli / Istanbul, Turkey</w:t>
      </w:r>
    </w:p>
    <w:p>
      <w:pPr>
        <w:pStyle w:val="BodyText"/>
      </w:pPr>
      <w:r>
        <w:t xml:space="preserve">Tax ID (VKN): 1234567890 | Phone: +90 212 555 0142 | Email: estimates@bosphoruscivil.com.tr</w:t>
      </w:r>
    </w:p>
    <w:bookmarkEnd w:id="20"/>
    <w:p>
      <w:pPr>
        <w:pStyle w:val="BodyText"/>
      </w:pPr>
      <w:r>
        <w:rPr>
          <w:bCs/>
          <w:b/>
        </w:rPr>
        <w:t xml:space="preserve">Quotation No.:</w:t>
      </w:r>
      <w:r>
        <w:t xml:space="preserve"> </w:t>
      </w:r>
      <w:r>
        <w:t xml:space="preserve">QTE-2025-IST-0472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Prepared For:</w:t>
      </w:r>
      <w:r>
        <w:t xml:space="preserve"> </w:t>
      </w:r>
      <w:r>
        <w:rPr>
          <w:bCs/>
          <w:b/>
        </w:rPr>
        <w:t xml:space="preserve">Client Name:</w:t>
      </w:r>
      <w:r>
        <w:t xml:space="preserve"> </w:t>
      </w:r>
      <w:r>
        <w:t xml:space="preserve">Meridian Development A.Ş.</w:t>
      </w:r>
      <w:r>
        <w:t xml:space="preserve"> </w:t>
      </w:r>
      <w:r>
        <w:rPr>
          <w:bCs/>
          <w:b/>
        </w:rPr>
        <w:t xml:space="preserve">Project Site:</w:t>
      </w:r>
      <w:r>
        <w:t xml:space="preserve"> </w:t>
      </w:r>
      <w:r>
        <w:t xml:space="preserve">Kadıköy District, Istanbul, Turkey</w:t>
      </w:r>
      <w:r>
        <w:t xml:space="preserve"> </w:t>
      </w:r>
      <w:r>
        <w:rPr>
          <w:bCs/>
          <w:b/>
        </w:rPr>
        <w:t xml:space="preserve">Reference:</w:t>
      </w:r>
      <w:r>
        <w:t xml:space="preserve"> </w:t>
      </w:r>
      <w:r>
        <w:t xml:space="preserve">MD-RES-2025-003</w:t>
      </w:r>
    </w:p>
    <w:p>
      <w:pPr>
        <w:pStyle w:val="BodyText"/>
      </w:pPr>
      <w:r>
        <w:t xml:space="preserve">Dear Sir/Madam,</w:t>
      </w:r>
    </w:p>
    <w:p>
      <w:pPr>
        <w:pStyle w:val="BodyText"/>
      </w:pPr>
      <w:r>
        <w:t xml:space="preserve">Thank you for the opportunity to submit this</w:t>
      </w:r>
      <w:r>
        <w:t xml:space="preserve"> </w:t>
      </w:r>
      <w:r>
        <w:t xml:space="preserve">Quotation Estimate</w:t>
      </w:r>
      <w:r>
        <w:t xml:space="preserve"> </w:t>
      </w:r>
      <w:r>
        <w:t xml:space="preserve">for the professional services of a licensed</w:t>
      </w:r>
      <w:r>
        <w:t xml:space="preserve"> </w:t>
      </w:r>
      <w:r>
        <w:t xml:space="preserve">Civil Engineer</w:t>
      </w:r>
      <w:r>
        <w:t xml:space="preserve"> </w:t>
      </w:r>
      <w:r>
        <w:t xml:space="preserve">in connection with your residential development project located in the Kadıköy district of</w:t>
      </w:r>
      <w:r>
        <w:t xml:space="preserve"> </w:t>
      </w:r>
      <w:r>
        <w:t xml:space="preserve">Turkey Istanbul</w:t>
      </w:r>
      <w:r>
        <w:t xml:space="preserve">. This document outlines the full scope of engineering consultancy, structural design, site supervision, and regulatory compliance services that our firm will deliver in accordance with the Turkish Building Law (Law No. 3083) and the Istanbul Metropolitan Municipality (İBB) building regulations.</w:t>
      </w:r>
    </w:p>
    <w:p>
      <w:pPr>
        <w:pStyle w:val="BodyText"/>
      </w:pPr>
      <w:r>
        <w:t xml:space="preserve">1. Scope of Services</w:t>
      </w:r>
    </w:p>
    <w:p>
      <w:pPr>
        <w:pStyle w:val="BodyText"/>
      </w:pPr>
      <w:r>
        <w:t xml:space="preserve">The</w:t>
      </w:r>
      <w:r>
        <w:t xml:space="preserve"> </w:t>
      </w:r>
      <w:r>
        <w:t xml:space="preserve">Civil Engineer</w:t>
      </w:r>
      <w:r>
        <w:t xml:space="preserve"> </w:t>
      </w:r>
      <w:r>
        <w:t xml:space="preserve">assigned to this project will provide comprehensive structural and geotechnical engineering services for a 12-storey residential building with two basement levels, a total gross floor area of approximately 8,400 m². The scope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(TRY)</w:t>
            </w:r>
          </w:p>
        </w:tc>
      </w:tr>
      <w:tr>
        <w:tc>
          <w:tcPr/>
          <w:p>
            <w:pPr>
              <w:pStyle w:val="Compact"/>
              <w:jc w:val="left"/>
            </w:pPr>
            <w:r>
              <w:t xml:space="preserve">1.1</w:t>
            </w:r>
          </w:p>
        </w:tc>
        <w:tc>
          <w:tcPr/>
          <w:p>
            <w:pPr>
              <w:pStyle w:val="Compact"/>
              <w:jc w:val="left"/>
            </w:pPr>
            <w:r>
              <w:t xml:space="preserve">Geotechnical investigation review and soil-structure interaction analysis for the</w:t>
            </w:r>
            <w:r>
              <w:t xml:space="preserve"> </w:t>
            </w:r>
            <w:r>
              <w:t xml:space="preserve">Turkey Istanbul</w:t>
            </w:r>
            <w:r>
              <w:t xml:space="preserve"> </w:t>
            </w:r>
            <w:r>
              <w:t xml:space="preserve">seismic zone (Zone 1, per 2007 Turkish Earthquake Resistance Regulations)</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85,000</w:t>
            </w:r>
          </w:p>
        </w:tc>
      </w:tr>
      <w:tr>
        <w:tc>
          <w:tcPr/>
          <w:p>
            <w:pPr>
              <w:pStyle w:val="Compact"/>
              <w:jc w:val="left"/>
            </w:pPr>
            <w:r>
              <w:t xml:space="preserve">1.2</w:t>
            </w:r>
          </w:p>
        </w:tc>
        <w:tc>
          <w:tcPr/>
          <w:p>
            <w:pPr>
              <w:pStyle w:val="Compact"/>
              <w:jc w:val="left"/>
            </w:pPr>
            <w:r>
              <w:t xml:space="preserve">Structural design of reinforced concrete frame system including foundation, columns, beams, slabs, and shear walls</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420,000</w:t>
            </w:r>
          </w:p>
        </w:tc>
      </w:tr>
      <w:tr>
        <w:tc>
          <w:tcPr/>
          <w:p>
            <w:pPr>
              <w:pStyle w:val="Compact"/>
              <w:jc w:val="left"/>
            </w:pPr>
            <w:r>
              <w:t xml:space="preserve">1.3</w:t>
            </w:r>
          </w:p>
        </w:tc>
        <w:tc>
          <w:tcPr/>
          <w:p>
            <w:pPr>
              <w:pStyle w:val="Compact"/>
              <w:jc w:val="left"/>
            </w:pPr>
            <w:r>
              <w:t xml:space="preserve">Preparation of construction drawings, structural calculation reports, and material specifications compliant with TS 500 and Eurocode standards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195,000</w:t>
            </w:r>
          </w:p>
        </w:tc>
      </w:tr>
      <w:tr>
        <w:tc>
          <w:tcPr/>
          <w:p>
            <w:pPr>
              <w:pStyle w:val="Compact"/>
              <w:jc w:val="left"/>
            </w:pPr>
            <w:r>
              <w:t xml:space="preserve">1.4</w:t>
            </w:r>
          </w:p>
        </w:tc>
        <w:tc>
          <w:tcPr/>
          <w:p>
            <w:pPr>
              <w:pStyle w:val="Compact"/>
              <w:jc w:val="left"/>
            </w:pPr>
            <w:r>
              <w:t xml:space="preserve">Submission and follow-up of building permit application with the Kadıköy District Municipality and İBB Technical Directorate</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65,000</w:t>
            </w:r>
          </w:p>
        </w:tc>
      </w:tr>
      <w:tr>
        <w:tc>
          <w:tcPr/>
          <w:p>
            <w:pPr>
              <w:pStyle w:val="Compact"/>
              <w:jc w:val="left"/>
            </w:pPr>
            <w:r>
              <w:t xml:space="preserve">1.5</w:t>
            </w:r>
          </w:p>
        </w:tc>
        <w:tc>
          <w:tcPr/>
          <w:p>
            <w:pPr>
              <w:pStyle w:val="Compact"/>
              <w:jc w:val="left"/>
            </w:pPr>
            <w:r>
              <w:t xml:space="preserve">On-site structural supervision during construction phase (minimum 3 site visits per week)</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48,000</w:t>
            </w:r>
          </w:p>
        </w:tc>
      </w:tr>
      <w:tr>
        <w:tc>
          <w:tcPr/>
          <w:p>
            <w:pPr>
              <w:pStyle w:val="Compact"/>
              <w:jc w:val="left"/>
            </w:pPr>
            <w:r>
              <w:t xml:space="preserve">1.6</w:t>
            </w:r>
          </w:p>
        </w:tc>
        <w:tc>
          <w:tcPr/>
          <w:p>
            <w:pPr>
              <w:pStyle w:val="Compact"/>
              <w:jc w:val="left"/>
            </w:pPr>
            <w:r>
              <w:t xml:space="preserve">Concrete and steel quality control testing coordination, pour inspections, and as-built documentation</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22,000</w:t>
            </w:r>
          </w:p>
        </w:tc>
      </w:tr>
      <w:tr>
        <w:tc>
          <w:tcPr/>
          <w:p>
            <w:pPr>
              <w:pStyle w:val="Compact"/>
              <w:jc w:val="left"/>
            </w:pPr>
            <w:r>
              <w:t xml:space="preserve">1.7</w:t>
            </w:r>
          </w:p>
        </w:tc>
        <w:tc>
          <w:tcPr/>
          <w:p>
            <w:pPr>
              <w:pStyle w:val="Compact"/>
              <w:jc w:val="left"/>
            </w:pPr>
            <w:r>
              <w:t xml:space="preserve">Final structural compliance certificate and handover documentation for occupancy permit</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45,000</w:t>
            </w:r>
          </w:p>
        </w:tc>
      </w:tr>
    </w:tbl>
    <w:p>
      <w:pPr>
        <w:pStyle w:val="BodyText"/>
      </w:pPr>
      <w:r>
        <w:t xml:space="preserve">2.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(TRY)</w:t>
            </w:r>
          </w:p>
        </w:tc>
      </w:tr>
      <w:tr>
        <w:tc>
          <w:tcPr/>
          <w:p>
            <w:pPr>
              <w:pStyle w:val="Compact"/>
              <w:jc w:val="left"/>
            </w:pPr>
            <w:r>
              <w:t xml:space="preserve">Items 1.1 – 1.4 (Design &amp; Permitting Phase)</w:t>
            </w:r>
          </w:p>
        </w:tc>
        <w:tc>
          <w:tcPr/>
          <w:p>
            <w:pPr>
              <w:pStyle w:val="Compact"/>
              <w:jc w:val="right"/>
            </w:pPr>
            <w:r>
              <w:t xml:space="preserve">765,000.00</w:t>
            </w:r>
          </w:p>
        </w:tc>
      </w:tr>
      <w:tr>
        <w:tc>
          <w:tcPr/>
          <w:p>
            <w:pPr>
              <w:pStyle w:val="Compact"/>
              <w:jc w:val="left"/>
            </w:pPr>
            <w:r>
              <w:t xml:space="preserve">Items 1.5 – 1.6 (Construction Supervision, 18 months)</w:t>
            </w:r>
          </w:p>
        </w:tc>
        <w:tc>
          <w:tcPr/>
          <w:p>
            <w:pPr>
              <w:pStyle w:val="Compact"/>
              <w:jc w:val="right"/>
            </w:pPr>
            <w:r>
              <w:t xml:space="preserve">1,242,000.00</w:t>
            </w:r>
          </w:p>
        </w:tc>
      </w:tr>
      <w:tr>
        <w:tc>
          <w:tcPr/>
          <w:p>
            <w:pPr>
              <w:pStyle w:val="Compact"/>
              <w:jc w:val="left"/>
            </w:pPr>
            <w:r>
              <w:t xml:space="preserve">Item 1.7 (Final Certification)</w:t>
            </w:r>
          </w:p>
        </w:tc>
        <w:tc>
          <w:tcPr/>
          <w:p>
            <w:pPr>
              <w:pStyle w:val="Compact"/>
              <w:jc w:val="right"/>
            </w:pPr>
            <w:r>
              <w:t xml:space="preserve">45,000.00</w:t>
            </w:r>
          </w:p>
        </w:tc>
      </w:tr>
      <w:tr>
        <w:tc>
          <w:tcPr/>
          <w:p>
            <w:pPr>
              <w:pStyle w:val="Compact"/>
              <w:jc w:val="left"/>
            </w:pPr>
            <w:r>
              <w:t xml:space="preserve">Subtotal</w:t>
            </w:r>
          </w:p>
        </w:tc>
        <w:tc>
          <w:tcPr/>
          <w:p>
            <w:pPr>
              <w:pStyle w:val="Compact"/>
              <w:jc w:val="right"/>
            </w:pPr>
            <w:r>
              <w:t xml:space="preserve">2,052,000.00</w:t>
            </w:r>
          </w:p>
        </w:tc>
      </w:tr>
      <w:tr>
        <w:tc>
          <w:tcPr/>
          <w:p>
            <w:pPr>
              <w:pStyle w:val="Compact"/>
              <w:jc w:val="left"/>
            </w:pPr>
            <w:r>
              <w:t xml:space="preserve">VAT (KDV) – 20%</w:t>
            </w:r>
          </w:p>
        </w:tc>
        <w:tc>
          <w:tcPr/>
          <w:p>
            <w:pPr>
              <w:pStyle w:val="Compact"/>
              <w:jc w:val="right"/>
            </w:pPr>
            <w:r>
              <w:t xml:space="preserve">410,400.00</w:t>
            </w:r>
          </w:p>
        </w:tc>
      </w:tr>
      <w:tr>
        <w:tc>
          <w:tcPr/>
          <w:p>
            <w:pPr>
              <w:pStyle w:val="Compact"/>
              <w:jc w:val="left"/>
            </w:pPr>
            <w:r>
              <w:t xml:space="preserve">TOTAL QUOTATION ESTIMATE (Incl. VAT)</w:t>
            </w:r>
          </w:p>
        </w:tc>
        <w:tc>
          <w:tcPr/>
          <w:p>
            <w:pPr>
              <w:pStyle w:val="Compact"/>
              <w:jc w:val="right"/>
            </w:pPr>
            <w:r>
              <w:t xml:space="preserve">2,462,400.00 TRY</w:t>
            </w:r>
          </w:p>
        </w:tc>
      </w:tr>
    </w:tbl>
    <w:p>
      <w:pPr>
        <w:pStyle w:val="BodyText"/>
      </w:pPr>
      <w:r>
        <w:t xml:space="preserve">3.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(TRY, incl. VAT)</w:t>
            </w:r>
          </w:p>
        </w:tc>
      </w:tr>
      <w:tr>
        <w:tc>
          <w:tcPr/>
          <w:p>
            <w:pPr>
              <w:pStyle w:val="Compact"/>
              <w:jc w:val="left"/>
            </w:pPr>
            <w:r>
              <w:t xml:space="preserve">Upon contract signing and mobilization</w:t>
            </w:r>
          </w:p>
        </w:tc>
        <w:tc>
          <w:tcPr/>
          <w:p>
            <w:pPr>
              <w:pStyle w:val="Compact"/>
              <w:jc w:val="left"/>
            </w:pPr>
            <w:r>
              <w:t xml:space="preserve">20%</w:t>
            </w:r>
          </w:p>
        </w:tc>
        <w:tc>
          <w:tcPr/>
          <w:p>
            <w:pPr>
              <w:pStyle w:val="Compact"/>
              <w:jc w:val="left"/>
            </w:pPr>
            <w:r>
              <w:t xml:space="preserve">492,480.00</w:t>
            </w:r>
          </w:p>
        </w:tc>
      </w:tr>
      <w:tr>
        <w:tc>
          <w:tcPr/>
          <w:p>
            <w:pPr>
              <w:pStyle w:val="Compact"/>
              <w:jc w:val="left"/>
            </w:pPr>
            <w:r>
              <w:t xml:space="preserve">Upon approval of structural design and permit issuance</w:t>
            </w:r>
          </w:p>
        </w:tc>
        <w:tc>
          <w:tcPr/>
          <w:p>
            <w:pPr>
              <w:pStyle w:val="Compact"/>
              <w:jc w:val="left"/>
            </w:pPr>
            <w:r>
              <w:t xml:space="preserve">30%</w:t>
            </w:r>
          </w:p>
        </w:tc>
        <w:tc>
          <w:tcPr/>
          <w:p>
            <w:pPr>
              <w:pStyle w:val="Compact"/>
              <w:jc w:val="left"/>
            </w:pPr>
            <w:r>
              <w:t xml:space="preserve">738,720.00</w:t>
            </w:r>
          </w:p>
        </w:tc>
      </w:tr>
      <w:tr>
        <w:tc>
          <w:tcPr/>
          <w:p>
            <w:pPr>
              <w:pStyle w:val="Compact"/>
              <w:jc w:val="left"/>
            </w:pPr>
            <w:r>
              <w:t xml:space="preserve">Monthly progress payments during construction supervision</w:t>
            </w:r>
          </w:p>
        </w:tc>
        <w:tc>
          <w:tcPr/>
          <w:p>
            <w:pPr>
              <w:pStyle w:val="Compact"/>
              <w:jc w:val="left"/>
            </w:pPr>
            <w:r>
              <w:t xml:space="preserve">45% (pro-rated)</w:t>
            </w:r>
          </w:p>
        </w:tc>
        <w:tc>
          <w:tcPr/>
          <w:p>
            <w:pPr>
              <w:pStyle w:val="Compact"/>
              <w:jc w:val="left"/>
            </w:pPr>
            <w:r>
              <w:t xml:space="preserve">1,108,080.00</w:t>
            </w:r>
          </w:p>
        </w:tc>
      </w:tr>
      <w:tr>
        <w:tc>
          <w:tcPr/>
          <w:p>
            <w:pPr>
              <w:pStyle w:val="Compact"/>
              <w:jc w:val="left"/>
            </w:pPr>
            <w:r>
              <w:t xml:space="preserve">Upon delivery of final compliance certificate</w:t>
            </w:r>
          </w:p>
        </w:tc>
        <w:tc>
          <w:tcPr/>
          <w:p>
            <w:pPr>
              <w:pStyle w:val="Compact"/>
              <w:jc w:val="left"/>
            </w:pPr>
            <w:r>
              <w:t xml:space="preserve">5%</w:t>
            </w:r>
          </w:p>
        </w:tc>
        <w:tc>
          <w:tcPr/>
          <w:p>
            <w:pPr>
              <w:pStyle w:val="Compact"/>
              <w:jc w:val="left"/>
            </w:pPr>
            <w:r>
              <w:t xml:space="preserve">123,120.00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extension beyond this period will be subject to re-evaluation of material and labour costs prevailing in</w:t>
      </w:r>
      <w:r>
        <w:t xml:space="preserve"> </w:t>
      </w:r>
      <w:r>
        <w:t xml:space="preserve">Turkey Istanbul</w:t>
      </w:r>
      <w:r>
        <w:t xml:space="preserve"> </w:t>
      </w:r>
      <w:r>
        <w:t xml:space="preserve">at that time.</w:t>
      </w:r>
    </w:p>
    <w:p>
      <w:pPr>
        <w:numPr>
          <w:ilvl w:val="0"/>
          <w:numId w:val="1001"/>
        </w:numPr>
        <w:pStyle w:val="Compact"/>
      </w:pPr>
      <w:r>
        <w:t xml:space="preserve">All prices are quoted in Turkish Lira (TRY) and are inclusive of the</w:t>
      </w:r>
      <w:r>
        <w:t xml:space="preserve"> </w:t>
      </w:r>
      <w:r>
        <w:t xml:space="preserve">Civil Engineer</w:t>
      </w:r>
      <w:r>
        <w:t xml:space="preserve">'s professional fees, software licensing, travel within Istanbul metropolitan area, and standard office overheads. Costs for travel outside Istanbul or for additional site visits beyond the stipulated frequency shall be billed separately at a rate of 1,200 TRY per day.</w:t>
      </w:r>
    </w:p>
    <w:p>
      <w:pPr>
        <w:numPr>
          <w:ilvl w:val="0"/>
          <w:numId w:val="1001"/>
        </w:numPr>
        <w:pStyle w:val="Compact"/>
      </w:pPr>
      <w:r>
        <w:t xml:space="preserve">The</w:t>
      </w:r>
      <w:r>
        <w:t xml:space="preserve"> </w:t>
      </w:r>
      <w:r>
        <w:t xml:space="preserve">Civil Engineer</w:t>
      </w:r>
      <w:r>
        <w:t xml:space="preserve"> </w:t>
      </w:r>
      <w:r>
        <w:t xml:space="preserve">shall hold a valid professional licence (Mühendislik Meslek Odası registration) issued by the Chamber of Civil Engineers of Istanbul (İMO) and shall carry professional indemnity insurance with a minimum coverage of 5,000,000 TRY throughout the duration of the engagement.</w:t>
      </w:r>
    </w:p>
    <w:p>
      <w:pPr>
        <w:numPr>
          <w:ilvl w:val="0"/>
          <w:numId w:val="1001"/>
        </w:numPr>
        <w:pStyle w:val="Compact"/>
      </w:pPr>
      <w:r>
        <w:t xml:space="preserve">Payment terms are net thirty (30) days from the date of invoice. Late payments shall attract interest at the statutory rate determined by the Turkish Commercial Code (TTK).</w:t>
      </w:r>
    </w:p>
    <w:p>
      <w:pPr>
        <w:numPr>
          <w:ilvl w:val="0"/>
          <w:numId w:val="1001"/>
        </w:numPr>
        <w:pStyle w:val="Compact"/>
      </w:pPr>
      <w:r>
        <w:t xml:space="preserve">Any design changes or scope modifications requested by the client after the initial design approval shall be treated as a variation and will be subject to a separate supplementary</w:t>
      </w:r>
      <w:r>
        <w:t xml:space="preserve"> </w:t>
      </w:r>
      <w:r>
        <w:t xml:space="preserve">Quotation Estimate</w:t>
      </w:r>
      <w:r>
        <w:t xml:space="preserve"> </w:t>
      </w:r>
      <w:r>
        <w:t xml:space="preserve">prior to execution.</w:t>
      </w:r>
    </w:p>
    <w:p>
      <w:pPr>
        <w:numPr>
          <w:ilvl w:val="0"/>
          <w:numId w:val="1001"/>
        </w:numPr>
        <w:pStyle w:val="Compact"/>
      </w:pPr>
      <w:r>
        <w:t xml:space="preserve">This project is governed by the laws of the Republic of Turkey. Any disputes arising from this engagement shall be resolved by the competent courts of Istanbul, Turkey.</w:t>
      </w:r>
    </w:p>
    <w:p>
      <w:pPr>
        <w:numPr>
          <w:ilvl w:val="0"/>
          <w:numId w:val="1001"/>
        </w:numPr>
        <w:pStyle w:val="Compact"/>
      </w:pPr>
      <w:r>
        <w:t xml:space="preserve">The</w:t>
      </w:r>
      <w:r>
        <w:t xml:space="preserve"> </w:t>
      </w:r>
      <w:r>
        <w:t xml:space="preserve">Civil Engineer</w:t>
      </w:r>
      <w:r>
        <w:t xml:space="preserve"> </w:t>
      </w:r>
      <w:r>
        <w:t xml:space="preserve">shall comply with all applicable environmental, occupational health and safety (İSG), and municipal regulations in force in Istanbul at the time of execution.</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geotechnical borehole drilling, laboratory testing fees, or third-party review by an independent structural consultant, should the client require such services. These items will be quoted separately upon request. All structural calculations are prepared in accordance with the 2007 Turkish Earthquake Resistance Regulations (TBDY 2018) and the Istanbul-specific seismic amplification factors.</w:t>
      </w:r>
    </w:p>
    <w:p>
      <w:pPr>
        <w:pStyle w:val="BodyText"/>
      </w:pPr>
      <w:r>
        <w:t xml:space="preserve">5. Acceptance and Authorization</w:t>
      </w:r>
    </w:p>
    <w:p>
      <w:pPr>
        <w:pStyle w:val="BodyText"/>
      </w:pPr>
      <w:r>
        <w:t xml:space="preserve">By signing below, the client acknowledges and accepts the terms, scope, and pricing set forth in this</w:t>
      </w:r>
      <w:r>
        <w:t xml:space="preserve"> </w:t>
      </w:r>
      <w:r>
        <w:t xml:space="preserve">Quotation Estimate</w:t>
      </w:r>
      <w:r>
        <w:t xml:space="preserve"> </w:t>
      </w:r>
      <w:r>
        <w:t xml:space="preserve">for the</w:t>
      </w:r>
      <w:r>
        <w:t xml:space="preserve"> </w:t>
      </w:r>
      <w:r>
        <w:t xml:space="preserve">Civil Engineer</w:t>
      </w:r>
      <w:r>
        <w:t xml:space="preserve"> </w:t>
      </w:r>
      <w:r>
        <w:t xml:space="preserve">services to be rendered in</w:t>
      </w:r>
      <w:r>
        <w:t xml:space="preserve"> </w:t>
      </w:r>
      <w:r>
        <w:t xml:space="preserve">Turkey Istanbul</w:t>
      </w:r>
      <w:r>
        <w:t xml:space="preserve">.</w:t>
      </w:r>
    </w:p>
    <w:p>
      <w:pPr>
        <w:pStyle w:val="BodyText"/>
      </w:pPr>
      <w:r>
        <w:rPr>
          <w:bCs/>
          <w:b/>
        </w:rPr>
        <w:t xml:space="preserve">For Bosphorus Civil Engineering &amp; Consulting Ltd.</w:t>
      </w:r>
      <w:r>
        <w:br/>
      </w:r>
      <w:r>
        <w:t xml:space="preserve">Name: Yrd. Doç. Dr. Ahmet Kaya, PE</w:t>
      </w:r>
      <w:r>
        <w:br/>
      </w:r>
      <w:r>
        <w:t xml:space="preserve">Title: Lead Civil Engineer / Project Director</w:t>
      </w:r>
      <w:r>
        <w:br/>
      </w:r>
      <w:r>
        <w:t xml:space="preserve">Date: _______________</w:t>
      </w:r>
    </w:p>
    <w:p>
      <w:pPr>
        <w:pStyle w:val="BodyText"/>
      </w:pPr>
      <w:r>
        <w:rPr>
          <w:bCs/>
          <w:b/>
        </w:rPr>
        <w:t xml:space="preserve">For Meridian Development A.Ş. (Client)</w:t>
      </w:r>
      <w:r>
        <w:br/>
      </w:r>
      <w:r>
        <w:t xml:space="preserve">Name: _________________________</w:t>
      </w:r>
      <w:r>
        <w:br/>
      </w:r>
      <w:r>
        <w:t xml:space="preserve">Title: _________________________</w:t>
      </w:r>
      <w:r>
        <w:br/>
      </w:r>
      <w:r>
        <w:t xml:space="preserve">Date: _______________</w:t>
      </w:r>
    </w:p>
    <w:p>
      <w:pPr>
        <w:pStyle w:val="BodyText"/>
      </w:pPr>
      <w:r>
        <w:t xml:space="preserve">Bosphorus Civil Engineering &amp; Consulting Ltd. | Levent, Şişli / Istanbul, Turkey | www.bosphoruscivil.com.tr</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 QTE-2025-IST-0472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Turkey Istanbul</dc:title>
  <dc:creator/>
  <dc:language>en</dc:language>
  <cp:keywords/>
  <dcterms:created xsi:type="dcterms:W3CDTF">2026-10-10T01:55:22Z</dcterms:created>
  <dcterms:modified xsi:type="dcterms:W3CDTF">2026-10-10T01:55:22Z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