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Civil Engineer Professional Services</w:t>
      </w:r>
    </w:p>
    <w:p>
      <w:pPr>
        <w:pStyle w:val="BodyText"/>
      </w:pPr>
      <w:r>
        <w:t xml:space="preserve">United Arab Emirates — Abu Dhabi</w:t>
      </w:r>
    </w:p>
    <w:p>
      <w:pPr>
        <w:pStyle w:val="BodyText"/>
      </w:pPr>
      <w:r>
        <w:t xml:space="preserve">Official Estimate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Eng. Khalid Al Mansoori — Lead Civil Engineer, Al Noor Engineering Consultants LLC</w:t>
            </w:r>
          </w:p>
        </w:tc>
      </w:tr>
      <w:tr>
        <w:tc>
          <w:tcPr/>
          <w:p>
            <w:pPr>
              <w:pStyle w:val="Compact"/>
              <w:jc w:val="left"/>
            </w:pPr>
            <w:r>
              <w:t xml:space="preserve">Client / Recipient:</w:t>
            </w:r>
          </w:p>
        </w:tc>
        <w:tc>
          <w:tcPr/>
          <w:p>
            <w:pPr>
              <w:pStyle w:val="Compact"/>
              <w:jc w:val="left"/>
            </w:pPr>
            <w:r>
              <w:t xml:space="preserve">Abu Dhabi Municipality — Infrastructure Development Division</w:t>
            </w:r>
          </w:p>
        </w:tc>
      </w:tr>
      <w:tr>
        <w:tc>
          <w:tcPr/>
          <w:p>
            <w:pPr>
              <w:pStyle w:val="Compact"/>
              <w:jc w:val="left"/>
            </w:pPr>
            <w:r>
              <w:t xml:space="preserve">Project Location:</w:t>
            </w:r>
          </w:p>
        </w:tc>
        <w:tc>
          <w:tcPr/>
          <w:p>
            <w:pPr>
              <w:pStyle w:val="Compact"/>
              <w:jc w:val="left"/>
            </w:pPr>
            <w:r>
              <w:t xml:space="preserve">Al Reem Island, United Arab Emirates Abu Dhabi</w:t>
            </w:r>
          </w:p>
        </w:tc>
      </w:tr>
      <w:tr>
        <w:tc>
          <w:tcPr/>
          <w:p>
            <w:pPr>
              <w:pStyle w:val="Compact"/>
              <w:jc w:val="left"/>
            </w:pPr>
            <w:r>
              <w:t xml:space="preserve">Currency:</w:t>
            </w:r>
          </w:p>
        </w:tc>
        <w:tc>
          <w:tcPr/>
          <w:p>
            <w:pPr>
              <w:pStyle w:val="Compact"/>
              <w:jc w:val="left"/>
            </w:pPr>
            <w:r>
              <w:t xml:space="preserve">United Arab Emirates Dirham (AED)</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Al Noor Engineering Consultants LLC, a registered professional engineering firm operating in the United Arab Emirates Abu Dhabi, to provide a comprehensive cost breakdown for the engagement of a qualified Civil Engineer and associated technical support services. This document serves as a binding financial proposal for the scope of civil engineering consultancy work described herein. All pricing, terms, and conditions outlined in this Quotation Estimate are subject to the regulatory framework of the Abu Dhabi Department of Municipalities and Transport (DMT) and the applicable federal engineering standards of the United Arab Emirates.</w:t>
      </w:r>
    </w:p>
    <w:bookmarkEnd w:id="21"/>
    <w:bookmarkStart w:id="22" w:name="scope-of-civil-engineer-services"/>
    <w:p>
      <w:pPr>
        <w:pStyle w:val="Heading2"/>
      </w:pPr>
      <w:r>
        <w:t xml:space="preserve">2. Scope of Civil Engineer Services</w:t>
      </w:r>
    </w:p>
    <w:p>
      <w:pPr>
        <w:pStyle w:val="FirstParagraph"/>
      </w:pPr>
      <w:r>
        <w:t xml:space="preserve">The Civil Engineer engagement under this Quotation Estimate encompasses the following professional deliverables and on-site activities within the United Arab Emirates Abu Dhabi jurisdiction:</w:t>
      </w:r>
    </w:p>
    <w:p>
      <w:pPr>
        <w:numPr>
          <w:ilvl w:val="0"/>
          <w:numId w:val="1001"/>
        </w:numPr>
        <w:pStyle w:val="Compact"/>
      </w:pPr>
      <w:r>
        <w:rPr>
          <w:bCs/>
          <w:b/>
        </w:rPr>
        <w:t xml:space="preserve">Structural Design &amp; Analysis:</w:t>
      </w:r>
      <w:r>
        <w:t xml:space="preserve"> </w:t>
      </w:r>
      <w:r>
        <w:t xml:space="preserve">Full structural design of a four-storey commercial building including reinforced concrete frame, foundation design (pile and raft), and load calculations compliant with UAE Building Code and Abu Dhabi Municipality structural regulations.</w:t>
      </w:r>
    </w:p>
    <w:p>
      <w:pPr>
        <w:numPr>
          <w:ilvl w:val="0"/>
          <w:numId w:val="1001"/>
        </w:numPr>
        <w:pStyle w:val="Compact"/>
      </w:pPr>
      <w:r>
        <w:rPr>
          <w:bCs/>
          <w:b/>
        </w:rPr>
        <w:t xml:space="preserve">Geotechnical Investigation Oversight:</w:t>
      </w:r>
      <w:r>
        <w:t xml:space="preserve"> </w:t>
      </w:r>
      <w:r>
        <w:t xml:space="preserve">Supervision and interpretation of soil boring and laboratory testing reports conducted at the Al Reem Island site to inform foundation design parameters.</w:t>
      </w:r>
    </w:p>
    <w:p>
      <w:pPr>
        <w:numPr>
          <w:ilvl w:val="0"/>
          <w:numId w:val="1001"/>
        </w:numPr>
        <w:pStyle w:val="Compact"/>
      </w:pPr>
      <w:r>
        <w:rPr>
          <w:bCs/>
          <w:b/>
        </w:rPr>
        <w:t xml:space="preserve">Construction Drawings &amp; Specifications:</w:t>
      </w:r>
      <w:r>
        <w:t xml:space="preserve"> </w:t>
      </w:r>
      <w:r>
        <w:t xml:space="preserve">Production of detailed construction drawings, structural specifications, and bill of quantities (BOQ) for tender purposes, prepared in accordance with the United Arab Emirates Abu Dhabi municipal drawing submission standards.</w:t>
      </w:r>
    </w:p>
    <w:p>
      <w:pPr>
        <w:numPr>
          <w:ilvl w:val="0"/>
          <w:numId w:val="1001"/>
        </w:numPr>
        <w:pStyle w:val="Compact"/>
      </w:pPr>
      <w:r>
        <w:rPr>
          <w:bCs/>
          <w:b/>
        </w:rPr>
        <w:t xml:space="preserve">Site Supervision &amp; Inspection:</w:t>
      </w:r>
      <w:r>
        <w:t xml:space="preserve"> </w:t>
      </w:r>
      <w:r>
        <w:t xml:space="preserve">On-site Civil Engineer supervision for a minimum of 180 working days, including concrete pour inspections, rebar placement verification, formwork checks, and as-built documentation.</w:t>
      </w:r>
    </w:p>
    <w:p>
      <w:pPr>
        <w:numPr>
          <w:ilvl w:val="0"/>
          <w:numId w:val="1001"/>
        </w:numPr>
        <w:pStyle w:val="Compact"/>
      </w:pPr>
      <w:r>
        <w:rPr>
          <w:bCs/>
          <w:b/>
        </w:rPr>
        <w:t xml:space="preserve">Regulatory Submissions &amp; Approvals:</w:t>
      </w:r>
      <w:r>
        <w:t xml:space="preserve"> </w:t>
      </w:r>
      <w:r>
        <w:t xml:space="preserve">Preparation and submission of all structural and civil engineering documentation to Abu Dhabi Municipality, the Department of Energy, and relevant federal authorities for permit acquisition and final occupancy certification.</w:t>
      </w:r>
    </w:p>
    <w:p>
      <w:pPr>
        <w:numPr>
          <w:ilvl w:val="0"/>
          <w:numId w:val="1001"/>
        </w:numPr>
        <w:pStyle w:val="Compact"/>
      </w:pPr>
      <w:r>
        <w:rPr>
          <w:bCs/>
          <w:b/>
        </w:rPr>
        <w:t xml:space="preserve">Quality Assurance &amp; Compliance Reporting:</w:t>
      </w:r>
      <w:r>
        <w:t xml:space="preserve"> </w:t>
      </w:r>
      <w:r>
        <w:t xml:space="preserve">Monthly progress reports, non-conformance reports, and compliance audits ensuring adherence to ISO 9001:2015 quality management standards and local Abu Dhabi construction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Structural design and analysis (concept to detailed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report review and foundation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Construction drawings, specifications &amp; BOQ preparation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Civil Engineer on-site supervision (180 working days)</w:t>
            </w:r>
          </w:p>
        </w:tc>
        <w:tc>
          <w:tcPr/>
          <w:p>
            <w:pPr>
              <w:pStyle w:val="Compact"/>
              <w:jc w:val="left"/>
            </w:pPr>
            <w:r>
              <w:t xml:space="preserve">Day</w:t>
            </w:r>
          </w:p>
        </w:tc>
        <w:tc>
          <w:tcPr/>
          <w:p>
            <w:pPr>
              <w:pStyle w:val="Compact"/>
              <w:jc w:val="left"/>
            </w:pPr>
            <w:r>
              <w:t xml:space="preserve">180</w:t>
            </w:r>
          </w:p>
        </w:tc>
        <w:tc>
          <w:tcPr/>
          <w:p>
            <w:pPr>
              <w:pStyle w:val="Compact"/>
              <w:jc w:val="left"/>
            </w:pPr>
            <w:r>
              <w:t xml:space="preserve">1,850.00</w:t>
            </w:r>
          </w:p>
        </w:tc>
        <w:tc>
          <w:tcPr/>
          <w:p>
            <w:pPr>
              <w:pStyle w:val="Compact"/>
              <w:jc w:val="left"/>
            </w:pPr>
            <w:r>
              <w:t xml:space="preserve">333,000.00</w:t>
            </w:r>
          </w:p>
        </w:tc>
      </w:tr>
      <w:tr>
        <w:tc>
          <w:tcPr/>
          <w:p>
            <w:pPr>
              <w:pStyle w:val="Compact"/>
              <w:jc w:val="left"/>
            </w:pPr>
            <w:r>
              <w:t xml:space="preserve">05</w:t>
            </w:r>
          </w:p>
        </w:tc>
        <w:tc>
          <w:tcPr/>
          <w:p>
            <w:pPr>
              <w:pStyle w:val="Compact"/>
              <w:jc w:val="left"/>
            </w:pPr>
            <w:r>
              <w:t xml:space="preserve">Regulatory submissions, permit coordination &amp; approvals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QA/QC reporting, compliance audits &amp; monthly reports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Travel, accommodation &amp; local transport within Abu Dhabi</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gridSpan w:val="5"/>
          </w:tcPr>
          <w:p>
            <w:pPr>
              <w:pStyle w:val="Compact"/>
              <w:jc w:val="left"/>
            </w:pPr>
            <w:r>
              <w:t xml:space="preserve">Subtotal (AED)</w:t>
            </w:r>
          </w:p>
        </w:tc>
        <w:tc>
          <w:tcPr/>
          <w:p>
            <w:pPr>
              <w:pStyle w:val="Compact"/>
              <w:jc w:val="left"/>
            </w:pPr>
            <w:r>
              <w:t xml:space="preserve">846,500.00</w:t>
            </w:r>
          </w:p>
        </w:tc>
      </w:tr>
      <w:tr>
        <w:tc>
          <w:tcPr>
            <w:gridSpan w:val="5"/>
          </w:tcPr>
          <w:p>
            <w:pPr>
              <w:pStyle w:val="Compact"/>
              <w:jc w:val="left"/>
            </w:pPr>
            <w:r>
              <w:t xml:space="preserve">VAT @ 5% (United Arab Emirates Federal Tax)</w:t>
            </w:r>
          </w:p>
        </w:tc>
        <w:tc>
          <w:tcPr/>
          <w:p>
            <w:pPr>
              <w:pStyle w:val="Compact"/>
              <w:jc w:val="left"/>
            </w:pPr>
            <w:r>
              <w:t xml:space="preserve">42,325.00</w:t>
            </w:r>
          </w:p>
        </w:tc>
      </w:tr>
      <w:tr>
        <w:tc>
          <w:tcPr>
            <w:gridSpan w:val="5"/>
          </w:tcPr>
          <w:p>
            <w:pPr>
              <w:pStyle w:val="Compact"/>
              <w:jc w:val="left"/>
            </w:pPr>
            <w:r>
              <w:rPr>
                <w:bCs/>
                <w:b/>
              </w:rPr>
              <w:t xml:space="preserve">TOTAL AMOUNT DUE (AED)</w:t>
            </w:r>
          </w:p>
        </w:tc>
        <w:tc>
          <w:tcPr/>
          <w:p>
            <w:pPr>
              <w:pStyle w:val="Compact"/>
              <w:jc w:val="left"/>
            </w:pPr>
            <w:r>
              <w:rPr>
                <w:bCs/>
                <w:b/>
              </w:rPr>
              <w:t xml:space="preserve">888,825.00</w:t>
            </w:r>
          </w:p>
        </w:tc>
      </w:tr>
    </w:tbl>
    <w:bookmarkEnd w:id="23"/>
    <w:bookmarkStart w:id="24" w:name="payment-terms-schedule"/>
    <w:p>
      <w:pPr>
        <w:pStyle w:val="Heading2"/>
      </w:pPr>
      <w:r>
        <w:t xml:space="preserve">4. Payment Terms &amp; Schedule</w:t>
      </w:r>
    </w:p>
    <w:p>
      <w:pPr>
        <w:pStyle w:val="FirstParagraph"/>
      </w:pPr>
      <w:r>
        <w:t xml:space="preserve">This Quotation Estimate stipulates the following payment milestones, payable within 14 working days of invoice issuance by the Civil Engineer consultancy firm:</w:t>
      </w:r>
    </w:p>
    <w:p>
      <w:pPr>
        <w:numPr>
          <w:ilvl w:val="0"/>
          <w:numId w:val="1002"/>
        </w:numPr>
        <w:pStyle w:val="Compact"/>
      </w:pPr>
      <w:r>
        <w:rPr>
          <w:bCs/>
          <w:b/>
        </w:rPr>
        <w:t xml:space="preserve">Advance Payment (25%):</w:t>
      </w:r>
      <w:r>
        <w:t xml:space="preserve"> </w:t>
      </w:r>
      <w:r>
        <w:t xml:space="preserve">AED 222,206.25 — Upon execution of the service agreement and receipt of this Quotation Estimate acceptance.</w:t>
      </w:r>
    </w:p>
    <w:p>
      <w:pPr>
        <w:numPr>
          <w:ilvl w:val="0"/>
          <w:numId w:val="1002"/>
        </w:numPr>
        <w:pStyle w:val="Compact"/>
      </w:pPr>
      <w:r>
        <w:rPr>
          <w:bCs/>
          <w:b/>
        </w:rPr>
        <w:t xml:space="preserve">Design Completion (30%):</w:t>
      </w:r>
      <w:r>
        <w:t xml:space="preserve"> </w:t>
      </w:r>
      <w:r>
        <w:t xml:space="preserve">AED 266,647.50 — Upon submission and municipal approval of all structural drawings and specifications.</w:t>
      </w:r>
    </w:p>
    <w:p>
      <w:pPr>
        <w:numPr>
          <w:ilvl w:val="0"/>
          <w:numId w:val="1002"/>
        </w:numPr>
        <w:pStyle w:val="Compact"/>
      </w:pPr>
      <w:r>
        <w:rPr>
          <w:bCs/>
          <w:b/>
        </w:rPr>
        <w:t xml:space="preserve">Construction Phase (35%):</w:t>
      </w:r>
      <w:r>
        <w:t xml:space="preserve"> </w:t>
      </w:r>
      <w:r>
        <w:t xml:space="preserve">AED 311,088.75 — Payable in three equal monthly instalments during the 180-day on-site supervision period.</w:t>
      </w:r>
    </w:p>
    <w:p>
      <w:pPr>
        <w:numPr>
          <w:ilvl w:val="0"/>
          <w:numId w:val="1002"/>
        </w:numPr>
        <w:pStyle w:val="Compact"/>
      </w:pPr>
      <w:r>
        <w:rPr>
          <w:bCs/>
          <w:b/>
        </w:rPr>
        <w:t xml:space="preserve">Final Settlement (10%):</w:t>
      </w:r>
      <w:r>
        <w:t xml:space="preserve"> </w:t>
      </w:r>
      <w:r>
        <w:t xml:space="preserve">AED 88,882.50 — Upon completion of all deliverables, final as-built documentation, and issuance of the occupancy permit by Abu Dhabi Municipality.</w:t>
      </w:r>
    </w:p>
    <w:bookmarkEnd w:id="24"/>
    <w:bookmarkStart w:id="25" w:name="terms-conditions"/>
    <w:p>
      <w:pPr>
        <w:pStyle w:val="Heading2"/>
      </w:pPr>
      <w:r>
        <w:t xml:space="preserve">5. Terms &amp; Conditions</w:t>
      </w:r>
    </w:p>
    <w:p>
      <w:pPr>
        <w:pStyle w:val="FirstParagraph"/>
      </w:pPr>
      <w:r>
        <w:t xml:space="preserve">5.1. This Quotation Estimate is valid for a period of thirty (30) calendar days from the date of issue. Beyond this period, all rates and terms are subject to revision without prior notice.</w:t>
      </w:r>
    </w:p>
    <w:p>
      <w:pPr>
        <w:pStyle w:val="BodyText"/>
      </w:pPr>
      <w:r>
        <w:t xml:space="preserve">5.2. The Civil Engineer services described herein are governed by the laws of the United Arab Emirates and the specific municipal regulations of Abu Dhabi. Any disputes arising from this engagement shall be resolved through the Abu Dhabi Centre for Amicable Settlement of Disputes.</w:t>
      </w:r>
    </w:p>
    <w:p>
      <w:pPr>
        <w:pStyle w:val="BodyText"/>
      </w:pPr>
      <w:r>
        <w:t xml:space="preserve">5.3. The client acknowledges that the Civil Engineer shall not be held liable for delays caused by third-party contractors, force majeure events, or regulatory hold-ups beyond the engineer's reasonable control.</w:t>
      </w:r>
    </w:p>
    <w:p>
      <w:pPr>
        <w:pStyle w:val="BodyText"/>
      </w:pPr>
      <w:r>
        <w:t xml:space="preserve">5.4. All intellectual property, design documents, and engineering calculations produced under this Quotation Estimate shall remain the exclusive property of Al Noor Engineering Consultants LLC until full payment is received.</w:t>
      </w:r>
    </w:p>
    <w:p>
      <w:pPr>
        <w:pStyle w:val="BodyText"/>
      </w:pPr>
      <w:r>
        <w:t xml:space="preserve">5.5. The Civil Engineer shall maintain professional indemnity insurance with a minimum coverage of AED 5,000,000, valid throughout the duration of the project in the United Arab Emirates Abu Dhabi.</w:t>
      </w:r>
    </w:p>
    <w:p>
      <w:pPr>
        <w:pStyle w:val="BodyText"/>
      </w:pPr>
      <w:r>
        <w:t xml:space="preserve">5.6. Any variation in scope beyond the items listed in this Quotation Estimate shall be subject to a supplementary estimate and written approval from both parties prior to commencement of additional work.</w:t>
      </w:r>
    </w:p>
    <w:bookmarkEnd w:id="25"/>
    <w:bookmarkStart w:id="26" w:name="acceptance-authorization"/>
    <w:p>
      <w:pPr>
        <w:pStyle w:val="Heading2"/>
      </w:pPr>
      <w:r>
        <w:t xml:space="preserve">6. Acceptance &amp; Authorization</w:t>
      </w:r>
    </w:p>
    <w:p>
      <w:pPr>
        <w:pStyle w:val="FirstParagraph"/>
      </w:pPr>
      <w:r>
        <w:t xml:space="preserve">By signing below, the client confirms acceptance of this Quotation Estimate for Civil Engineer services in the United Arab Emirates Abu Dhabi and authorizes Al Noor Engineering Consultants LLC to proceed with the engagement as described herein.</w:t>
      </w:r>
    </w:p>
    <w:p>
      <w:pPr>
        <w:pStyle w:val="BodyText"/>
      </w:pPr>
      <w:r>
        <w:rPr>
          <w:bCs/>
          <w:b/>
        </w:rPr>
        <w:t xml:space="preserve">For Al Noor Engineering Consultants LLC</w:t>
      </w:r>
    </w:p>
    <w:p>
      <w:pPr>
        <w:pStyle w:val="BodyText"/>
      </w:pPr>
      <w:r>
        <w:t xml:space="preserve">Civil Engineer — Lead Consultant</w:t>
      </w:r>
    </w:p>
    <w:p>
      <w:pPr>
        <w:pStyle w:val="BodyText"/>
      </w:pPr>
      <w:r>
        <w:t xml:space="preserve">Name: Eng. Khalid Al Mansoori</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Abu Dhabi Municipality — Infrastructure Division</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Quotation Estimate document is prepared exclusively for the named client and project location in the United Arab Emirates Abu Dhabi. It shall not be reproduced, distributed, or used for any other purpose without the prior written consent of Al Noor Engineering Consultants LLC. All amounts are stated in United Arab Emirates Dirhams (AED) and are inclusive of applicable professional fees. This estimate does not constitute a construction contract but serves as a financial proposal for the Civil Engineer consultancy services described.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Arab Emirates Abu Dhabi</dc:title>
  <dc:creator/>
  <dc:language>en</dc:language>
  <cp:keywords/>
  <dcterms:created xsi:type="dcterms:W3CDTF">2026-10-10T02:01:30Z</dcterms:created>
  <dcterms:modified xsi:type="dcterms:W3CDTF">2026-10-10T02:01:30Z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