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Tashkent Engineering &amp; Infrastructure Solutions LLP</w:t>
      </w:r>
    </w:p>
    <w:p>
      <w:pPr>
        <w:pStyle w:val="BodyText"/>
      </w:pPr>
      <w:r>
        <w:t xml:space="preserve">14 Amir Temur Avenue, Tashkent, 100000, Uzbekistan</w:t>
      </w:r>
    </w:p>
    <w:p>
      <w:pPr>
        <w:pStyle w:val="BodyText"/>
      </w:pPr>
      <w:r>
        <w:t xml:space="preserve">Tel: +998 71 200 45 67 | Email: info@tashkenteng.uz</w:t>
      </w:r>
    </w:p>
    <w:p>
      <w:pPr>
        <w:pStyle w:val="BodyText"/>
      </w:pPr>
      <w:r>
        <w:t xml:space="preserve">Registration No. UZ-2019-CE-0847 | VAT ID: 201908471</w:t>
      </w:r>
    </w:p>
    <w:bookmarkEnd w:id="20"/>
    <w:p>
      <w:pPr>
        <w:pStyle w:val="BodyText"/>
      </w:pPr>
      <w:r>
        <w:rPr>
          <w:bCs/>
          <w:b/>
        </w:rPr>
        <w:t xml:space="preserve">Quotation No.:</w:t>
      </w:r>
      <w:r>
        <w:t xml:space="preserve"> </w:t>
      </w:r>
      <w:r>
        <w:t xml:space="preserve">QTE-2025-CE-0312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Tashkent, Uzbekistan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Uzbekistan State Construction Authority (USCA)</w:t>
            </w:r>
          </w:p>
        </w:tc>
      </w:tr>
      <w:tr>
        <w:tc>
          <w:tcPr/>
          <w:p>
            <w:pPr>
              <w:pStyle w:val="Compact"/>
              <w:jc w:val="left"/>
            </w:pPr>
            <w:r>
              <w:rPr>
                <w:bCs/>
                <w:b/>
              </w:rPr>
              <w:t xml:space="preserve">Address:</w:t>
            </w:r>
          </w:p>
        </w:tc>
        <w:tc>
          <w:tcPr/>
          <w:p>
            <w:pPr>
              <w:pStyle w:val="Compact"/>
              <w:jc w:val="left"/>
            </w:pPr>
            <w:r>
              <w:t xml:space="preserve">22 Navoi Street, Tashkent, 100011, Uzbekistan</w:t>
            </w:r>
          </w:p>
        </w:tc>
      </w:tr>
      <w:tr>
        <w:tc>
          <w:tcPr/>
          <w:p>
            <w:pPr>
              <w:pStyle w:val="Compact"/>
              <w:jc w:val="left"/>
            </w:pPr>
            <w:r>
              <w:rPr>
                <w:bCs/>
                <w:b/>
              </w:rPr>
              <w:t xml:space="preserve">Contact Person:</w:t>
            </w:r>
          </w:p>
        </w:tc>
        <w:tc>
          <w:tcPr/>
          <w:p>
            <w:pPr>
              <w:pStyle w:val="Compact"/>
              <w:jc w:val="left"/>
            </w:pPr>
            <w:r>
              <w:t xml:space="preserve">Mr. Jasur Karimov, Chief Procurement Officer</w:t>
            </w:r>
          </w:p>
        </w:tc>
      </w:tr>
      <w:tr>
        <w:tc>
          <w:tcPr/>
          <w:p>
            <w:pPr>
              <w:pStyle w:val="Compact"/>
              <w:jc w:val="left"/>
            </w:pPr>
            <w:r>
              <w:rPr>
                <w:bCs/>
                <w:b/>
              </w:rPr>
              <w:t xml:space="preserve">Email:</w:t>
            </w:r>
          </w:p>
        </w:tc>
        <w:tc>
          <w:tcPr/>
          <w:p>
            <w:pPr>
              <w:pStyle w:val="Compact"/>
              <w:jc w:val="left"/>
            </w:pPr>
            <w:r>
              <w:t xml:space="preserve">j.karimov@usca.gov.uz</w:t>
            </w:r>
          </w:p>
        </w:tc>
      </w:tr>
      <w:tr>
        <w:tc>
          <w:tcPr/>
          <w:p>
            <w:pPr>
              <w:pStyle w:val="Compact"/>
              <w:jc w:val="left"/>
            </w:pPr>
            <w:r>
              <w:rPr>
                <w:bCs/>
                <w:b/>
              </w:rPr>
              <w:t xml:space="preserve">Project Reference:</w:t>
            </w:r>
          </w:p>
        </w:tc>
        <w:tc>
          <w:tcPr/>
          <w:p>
            <w:pPr>
              <w:pStyle w:val="Compact"/>
              <w:jc w:val="left"/>
            </w:pPr>
            <w:r>
              <w:t xml:space="preserve">USCA-2025-RES-0047 – Residential Complex, Yunusobod District, Tashkent</w:t>
            </w:r>
          </w:p>
        </w:tc>
      </w:tr>
    </w:tbl>
    <w:bookmarkEnd w:id="21"/>
    <w:bookmarkStart w:id="22" w:name="scope-of-work-civil-engineer-services"/>
    <w:p>
      <w:pPr>
        <w:pStyle w:val="Heading2"/>
      </w:pPr>
      <w:r>
        <w:t xml:space="preserve">2. Scope of Work – Civil Engineer Services</w:t>
      </w:r>
    </w:p>
    <w:p>
      <w:pPr>
        <w:pStyle w:val="FirstParagraph"/>
      </w:pPr>
      <w:r>
        <w:t xml:space="preserve">This</w:t>
      </w:r>
      <w:r>
        <w:t xml:space="preserve"> </w:t>
      </w:r>
      <w:r>
        <w:t xml:space="preserve">Quotation Estimate</w:t>
      </w:r>
      <w:r>
        <w:t xml:space="preserve"> </w:t>
      </w:r>
      <w:r>
        <w:t xml:space="preserve">is prepared by Tashkent Engineering &amp; Infrastructure Solutions LLP in response to the formal request from the Uzbekistan State Construction Authority for the engagement of a qualified</w:t>
      </w:r>
      <w:r>
        <w:t xml:space="preserve"> </w:t>
      </w:r>
      <w:r>
        <w:t xml:space="preserve">Civil Engineer</w:t>
      </w:r>
      <w:r>
        <w:t xml:space="preserve"> </w:t>
      </w:r>
      <w:r>
        <w:t xml:space="preserve">to oversee structural design, site supervision, and compliance verification for the Yunusobod District Residential Complex project located in</w:t>
      </w:r>
      <w:r>
        <w:t xml:space="preserve"> </w:t>
      </w:r>
      <w:r>
        <w:t xml:space="preserve">Uzbekistan Tashkent</w:t>
      </w:r>
      <w:r>
        <w:t xml:space="preserve">. The scope encompasses all phases from preliminary design review through to final handover inspection, in full accordance with the national building codes of the Republic of Uzbekistan (SNiP standards) and the municipal regulations of Tashkent City.</w:t>
      </w:r>
    </w:p>
    <w:p>
      <w:pPr>
        <w:pStyle w:val="BodyText"/>
      </w:pPr>
      <w:r>
        <w:t xml:space="preserve">The appointed</w:t>
      </w:r>
      <w:r>
        <w:t xml:space="preserve"> </w:t>
      </w:r>
      <w:r>
        <w:t xml:space="preserve">Civil Engineer</w:t>
      </w:r>
      <w:r>
        <w:t xml:space="preserve"> </w:t>
      </w:r>
      <w:r>
        <w:t xml:space="preserve">shall hold a minimum of ten (10) years of professional experience in structural and geotechnical engineering, possess a valid license issued by the Ministry of Construction of the Republic of Uzbekistan, and demonstrate prior project delivery within the</w:t>
      </w:r>
      <w:r>
        <w:t xml:space="preserve"> </w:t>
      </w:r>
      <w:r>
        <w:t xml:space="preserve">Uzbekistan Tashkent</w:t>
      </w:r>
      <w:r>
        <w:t xml:space="preserve"> </w:t>
      </w:r>
      <w:r>
        <w:t xml:space="preserve">metropolitan area. All engineering deliverables shall be produced in both Russian and Uzbek languages to satisfy local regulatory and stakeholder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01</w:t>
            </w:r>
          </w:p>
        </w:tc>
        <w:tc>
          <w:tcPr/>
          <w:p>
            <w:pPr>
              <w:pStyle w:val="Compact"/>
              <w:jc w:val="left"/>
            </w:pPr>
            <w:r>
              <w:t xml:space="preserve">Structural design review and feasibility assessment for 12-storey residential tower (Yunusobod District, Tashkent)</w:t>
            </w:r>
          </w:p>
        </w:tc>
        <w:tc>
          <w:tcPr/>
          <w:p>
            <w:pPr>
              <w:pStyle w:val="Compact"/>
              <w:jc w:val="left"/>
            </w:pPr>
            <w:r>
              <w:t xml:space="preserve">1 lot</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Geotechnical investigation supervision and soil bearing capacity verification</w:t>
            </w:r>
          </w:p>
        </w:tc>
        <w:tc>
          <w:tcPr/>
          <w:p>
            <w:pPr>
              <w:pStyle w:val="Compact"/>
              <w:jc w:val="left"/>
            </w:pPr>
            <w:r>
              <w:t xml:space="preserve">3 weeks</w:t>
            </w:r>
          </w:p>
        </w:tc>
        <w:tc>
          <w:tcPr/>
          <w:p>
            <w:pPr>
              <w:pStyle w:val="Compact"/>
              <w:jc w:val="left"/>
            </w:pPr>
            <w:r>
              <w:t xml:space="preserve">12,500,000</w:t>
            </w:r>
          </w:p>
        </w:tc>
        <w:tc>
          <w:tcPr/>
          <w:p>
            <w:pPr>
              <w:pStyle w:val="Compact"/>
              <w:jc w:val="left"/>
            </w:pPr>
            <w:r>
              <w:t xml:space="preserve">37,500,000</w:t>
            </w:r>
          </w:p>
        </w:tc>
      </w:tr>
      <w:tr>
        <w:tc>
          <w:tcPr/>
          <w:p>
            <w:pPr>
              <w:pStyle w:val="Compact"/>
              <w:jc w:val="left"/>
            </w:pPr>
            <w:r>
              <w:t xml:space="preserve">03</w:t>
            </w:r>
          </w:p>
        </w:tc>
        <w:tc>
          <w:tcPr/>
          <w:p>
            <w:pPr>
              <w:pStyle w:val="Compact"/>
              <w:jc w:val="left"/>
            </w:pPr>
            <w:r>
              <w:t xml:space="preserve">Foundation and substructure design (pile cap, raft foundation) per SNiP 2.02.01-83</w:t>
            </w:r>
          </w:p>
        </w:tc>
        <w:tc>
          <w:tcPr/>
          <w:p>
            <w:pPr>
              <w:pStyle w:val="Compact"/>
              <w:jc w:val="left"/>
            </w:pPr>
            <w:r>
              <w:t xml:space="preserve">1 lot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04</w:t>
            </w:r>
          </w:p>
        </w:tc>
        <w:tc>
          <w:tcPr/>
          <w:p>
            <w:pPr>
              <w:pStyle w:val="Compact"/>
              <w:jc w:val="left"/>
            </w:pPr>
            <w:r>
              <w:t xml:space="preserve">Superstructure design – reinforced concrete frame, slabs, and stair cores</w:t>
            </w:r>
          </w:p>
        </w:tc>
        <w:tc>
          <w:tcPr/>
          <w:p>
            <w:pPr>
              <w:pStyle w:val="Compact"/>
              <w:jc w:val="left"/>
            </w:pPr>
            <w:r>
              <w:t xml:space="preserve">1 lot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05</w:t>
            </w:r>
          </w:p>
        </w:tc>
        <w:tc>
          <w:tcPr/>
          <w:p>
            <w:pPr>
              <w:pStyle w:val="Compact"/>
              <w:jc w:val="left"/>
            </w:pPr>
            <w:r>
              <w:t xml:space="preserve">On-site construction supervision by Civil Engineer (full duration of construction phase)</w:t>
            </w:r>
          </w:p>
        </w:tc>
        <w:tc>
          <w:tcPr/>
          <w:p>
            <w:pPr>
              <w:pStyle w:val="Compact"/>
              <w:jc w:val="left"/>
            </w:pPr>
            <w:r>
              <w:t xml:space="preserve">14 months</w:t>
            </w:r>
          </w:p>
        </w:tc>
        <w:tc>
          <w:tcPr/>
          <w:p>
            <w:pPr>
              <w:pStyle w:val="Compact"/>
              <w:jc w:val="left"/>
            </w:pPr>
            <w:r>
              <w:t xml:space="preserve">18,000,000</w:t>
            </w:r>
          </w:p>
        </w:tc>
        <w:tc>
          <w:tcPr/>
          <w:p>
            <w:pPr>
              <w:pStyle w:val="Compact"/>
              <w:jc w:val="left"/>
            </w:pPr>
            <w:r>
              <w:t xml:space="preserve">252,000,000</w:t>
            </w:r>
          </w:p>
        </w:tc>
      </w:tr>
      <w:tr>
        <w:tc>
          <w:tcPr/>
          <w:p>
            <w:pPr>
              <w:pStyle w:val="Compact"/>
              <w:jc w:val="left"/>
            </w:pPr>
            <w:r>
              <w:t xml:space="preserve">06</w:t>
            </w:r>
          </w:p>
        </w:tc>
        <w:tc>
          <w:tcPr/>
          <w:p>
            <w:pPr>
              <w:pStyle w:val="Compact"/>
              <w:jc w:val="left"/>
            </w:pPr>
            <w:r>
              <w:t xml:space="preserve">Quality control inspections, material testing coordination, and non-conformance reporting</w:t>
            </w:r>
          </w:p>
        </w:tc>
        <w:tc>
          <w:tcPr/>
          <w:p>
            <w:pPr>
              <w:pStyle w:val="Compact"/>
              <w:jc w:val="left"/>
            </w:pPr>
            <w:r>
              <w:t xml:space="preserve">14 months</w:t>
            </w:r>
          </w:p>
        </w:tc>
        <w:tc>
          <w:tcPr/>
          <w:p>
            <w:pPr>
              <w:pStyle w:val="Compact"/>
              <w:jc w:val="left"/>
            </w:pPr>
            <w:r>
              <w:t xml:space="preserve">9,500,000</w:t>
            </w:r>
          </w:p>
        </w:tc>
        <w:tc>
          <w:tcPr/>
          <w:p>
            <w:pPr>
              <w:pStyle w:val="Compact"/>
              <w:jc w:val="left"/>
            </w:pPr>
            <w:r>
              <w:t xml:space="preserve">133,000,000</w:t>
            </w:r>
          </w:p>
        </w:tc>
      </w:tr>
      <w:tr>
        <w:tc>
          <w:tcPr/>
          <w:p>
            <w:pPr>
              <w:pStyle w:val="Compact"/>
              <w:jc w:val="left"/>
            </w:pPr>
            <w:r>
              <w:t xml:space="preserve">07</w:t>
            </w:r>
          </w:p>
        </w:tc>
        <w:tc>
          <w:tcPr/>
          <w:p>
            <w:pPr>
              <w:pStyle w:val="Compact"/>
              <w:jc w:val="left"/>
            </w:pPr>
            <w:r>
              <w:t xml:space="preserve">As-built documentation preparation and final compliance certification for Tashkent municipal authorities</w:t>
            </w:r>
          </w:p>
        </w:tc>
        <w:tc>
          <w:tcPr/>
          <w:p>
            <w:pPr>
              <w:pStyle w:val="Compact"/>
              <w:jc w:val="left"/>
            </w:pPr>
            <w:r>
              <w:t xml:space="preserve">1 lot</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08</w:t>
            </w:r>
          </w:p>
        </w:tc>
        <w:tc>
          <w:tcPr/>
          <w:p>
            <w:pPr>
              <w:pStyle w:val="Compact"/>
              <w:jc w:val="left"/>
            </w:pPr>
            <w:r>
              <w:t xml:space="preserve">Seismic design verification per SNiP 2.07.01-89 (Zone 8, Tashkent)</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09</w:t>
            </w:r>
          </w:p>
        </w:tc>
        <w:tc>
          <w:tcPr/>
          <w:p>
            <w:pPr>
              <w:pStyle w:val="Compact"/>
              <w:jc w:val="left"/>
            </w:pPr>
            <w:r>
              <w:t xml:space="preserve">Coordination with MEP consultants and integration of structural openings</w:t>
            </w:r>
          </w:p>
        </w:tc>
        <w:tc>
          <w:tcPr/>
          <w:p>
            <w:pPr>
              <w:pStyle w:val="Compact"/>
              <w:jc w:val="left"/>
            </w:pPr>
            <w:r>
              <w:t xml:space="preserve">1 lot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10</w:t>
            </w:r>
          </w:p>
        </w:tc>
        <w:tc>
          <w:tcPr/>
          <w:p>
            <w:pPr>
              <w:pStyle w:val="Compact"/>
              <w:jc w:val="left"/>
            </w:pPr>
            <w:r>
              <w:t xml:space="preserve">Project close-out, warranty period advisory (12 months), and post-occupancy assessment</w:t>
            </w:r>
          </w:p>
        </w:tc>
        <w:tc>
          <w:tcPr/>
          <w:p>
            <w:pPr>
              <w:pStyle w:val="Compact"/>
              <w:jc w:val="left"/>
            </w:pPr>
            <w:r>
              <w:t xml:space="preserve">12 months</w:t>
            </w:r>
          </w:p>
        </w:tc>
        <w:tc>
          <w:tcPr/>
          <w:p>
            <w:pPr>
              <w:pStyle w:val="Compact"/>
              <w:jc w:val="left"/>
            </w:pPr>
            <w:r>
              <w:t xml:space="preserve">7,000,000</w:t>
            </w:r>
          </w:p>
        </w:tc>
        <w:tc>
          <w:tcPr/>
          <w:p>
            <w:pPr>
              <w:pStyle w:val="Compact"/>
              <w:jc w:val="left"/>
            </w:pPr>
            <w:r>
              <w:t xml:space="preserve">84,000,000</w:t>
            </w:r>
          </w:p>
        </w:tc>
      </w:tr>
      <w:tr>
        <w:tc>
          <w:tcPr>
            <w:gridSpan w:val="4"/>
          </w:tcPr>
          <w:p>
            <w:pPr>
              <w:pStyle w:val="Compact"/>
              <w:jc w:val="right"/>
            </w:pPr>
            <w:r>
              <w:t xml:space="preserve">SUBTOTAL (UZS)</w:t>
            </w:r>
          </w:p>
        </w:tc>
        <w:tc>
          <w:tcPr/>
          <w:p>
            <w:pPr>
              <w:pStyle w:val="Compact"/>
              <w:jc w:val="left"/>
            </w:pPr>
            <w:r>
              <w:t xml:space="preserve">786,500,000</w:t>
            </w:r>
          </w:p>
        </w:tc>
      </w:tr>
      <w:tr>
        <w:tc>
          <w:tcPr>
            <w:gridSpan w:val="4"/>
          </w:tcPr>
          <w:p>
            <w:pPr>
              <w:pStyle w:val="Compact"/>
              <w:jc w:val="right"/>
            </w:pPr>
            <w:r>
              <w:t xml:space="preserve">VAT 12% (Uzbekistan)</w:t>
            </w:r>
          </w:p>
        </w:tc>
        <w:tc>
          <w:tcPr/>
          <w:p>
            <w:pPr>
              <w:pStyle w:val="Compact"/>
              <w:jc w:val="left"/>
            </w:pPr>
            <w:r>
              <w:t xml:space="preserve">94,380,000</w:t>
            </w:r>
          </w:p>
        </w:tc>
      </w:tr>
      <w:tr>
        <w:tc>
          <w:tcPr>
            <w:gridSpan w:val="4"/>
          </w:tcPr>
          <w:p>
            <w:pPr>
              <w:pStyle w:val="Compact"/>
              <w:jc w:val="right"/>
            </w:pPr>
            <w:r>
              <w:t xml:space="preserve">TOTAL AMOUNT (UZS)</w:t>
            </w:r>
          </w:p>
        </w:tc>
        <w:tc>
          <w:tcPr/>
          <w:p>
            <w:pPr>
              <w:pStyle w:val="Compact"/>
              <w:jc w:val="left"/>
            </w:pPr>
            <w:r>
              <w:t xml:space="preserve">880,880,000</w:t>
            </w:r>
          </w:p>
        </w:tc>
      </w:tr>
      <w:tr>
        <w:tc>
          <w:tcPr>
            <w:gridSpan w:val="4"/>
          </w:tcPr>
          <w:p>
            <w:pPr>
              <w:pStyle w:val="Compact"/>
              <w:jc w:val="right"/>
            </w:pPr>
            <w:r>
              <w:t xml:space="preserve">TOTAL AMOUNT (USD, approx. at 12,800 UZS/USD)</w:t>
            </w:r>
          </w:p>
        </w:tc>
        <w:tc>
          <w:tcPr/>
          <w:p>
            <w:pPr>
              <w:pStyle w:val="Compact"/>
              <w:jc w:val="left"/>
            </w:pPr>
            <w:r>
              <w:t xml:space="preserve">≈ 68,819 USD</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(UZS)</w:t>
            </w:r>
          </w:p>
        </w:tc>
        <w:tc>
          <w:tcPr/>
          <w:p>
            <w:pPr>
              <w:pStyle w:val="Compact"/>
              <w:jc w:val="left"/>
            </w:pPr>
            <w:r>
              <w:t xml:space="preserve">Trigger</w:t>
            </w:r>
          </w:p>
        </w:tc>
      </w:tr>
      <w:tr>
        <w:tc>
          <w:tcPr/>
          <w:p>
            <w:pPr>
              <w:pStyle w:val="Compact"/>
              <w:jc w:val="left"/>
            </w:pPr>
            <w:r>
              <w:t xml:space="preserve">Advance payment upon contract signing</w:t>
            </w:r>
          </w:p>
        </w:tc>
        <w:tc>
          <w:tcPr/>
          <w:p>
            <w:pPr>
              <w:pStyle w:val="Compact"/>
              <w:jc w:val="left"/>
            </w:pPr>
            <w:r>
              <w:t xml:space="preserve">20%</w:t>
            </w:r>
          </w:p>
        </w:tc>
        <w:tc>
          <w:tcPr/>
          <w:p>
            <w:pPr>
              <w:pStyle w:val="Compact"/>
              <w:jc w:val="left"/>
            </w:pPr>
            <w:r>
              <w:t xml:space="preserve">176,176,000</w:t>
            </w:r>
          </w:p>
        </w:tc>
        <w:tc>
          <w:tcPr/>
          <w:p>
            <w:pPr>
              <w:pStyle w:val="Compact"/>
              <w:jc w:val="left"/>
            </w:pPr>
            <w:r>
              <w:t xml:space="preserve">Execution of agreement</w:t>
            </w:r>
          </w:p>
        </w:tc>
      </w:tr>
      <w:tr>
        <w:tc>
          <w:tcPr/>
          <w:p>
            <w:pPr>
              <w:pStyle w:val="Compact"/>
              <w:jc w:val="left"/>
            </w:pPr>
            <w:r>
              <w:t xml:space="preserve">Design phase completion (Items 01–04, 08, 09)</w:t>
            </w:r>
          </w:p>
        </w:tc>
        <w:tc>
          <w:tcPr/>
          <w:p>
            <w:pPr>
              <w:pStyle w:val="Compact"/>
              <w:jc w:val="left"/>
            </w:pPr>
            <w:r>
              <w:t xml:space="preserve">30%</w:t>
            </w:r>
          </w:p>
        </w:tc>
        <w:tc>
          <w:tcPr/>
          <w:p>
            <w:pPr>
              <w:pStyle w:val="Compact"/>
              <w:jc w:val="left"/>
            </w:pPr>
            <w:r>
              <w:t xml:space="preserve">264,264,000</w:t>
            </w:r>
          </w:p>
        </w:tc>
        <w:tc>
          <w:tcPr/>
          <w:p>
            <w:pPr>
              <w:pStyle w:val="Compact"/>
              <w:jc w:val="left"/>
            </w:pPr>
            <w:r>
              <w:t xml:space="preserve">Approval of structural drawings by USCA</w:t>
            </w:r>
          </w:p>
        </w:tc>
      </w:tr>
      <w:tr>
        <w:tc>
          <w:tcPr/>
          <w:p>
            <w:pPr>
              <w:pStyle w:val="Compact"/>
              <w:jc w:val="left"/>
            </w:pPr>
            <w:r>
              <w:t xml:space="preserve">Construction supervision – 50% progress</w:t>
            </w:r>
          </w:p>
        </w:tc>
        <w:tc>
          <w:tcPr/>
          <w:p>
            <w:pPr>
              <w:pStyle w:val="Compact"/>
              <w:jc w:val="left"/>
            </w:pPr>
            <w:r>
              <w:t xml:space="preserve">25%</w:t>
            </w:r>
          </w:p>
        </w:tc>
        <w:tc>
          <w:tcPr/>
          <w:p>
            <w:pPr>
              <w:pStyle w:val="Compact"/>
              <w:jc w:val="left"/>
            </w:pPr>
            <w:r>
              <w:t xml:space="preserve">220,220,000</w:t>
            </w:r>
          </w:p>
        </w:tc>
        <w:tc>
          <w:tcPr/>
          <w:p>
            <w:pPr>
              <w:pStyle w:val="Compact"/>
              <w:jc w:val="left"/>
            </w:pPr>
            <w:r>
              <w:t xml:space="preserve">Structural topping-out certificate</w:t>
            </w:r>
          </w:p>
        </w:tc>
      </w:tr>
      <w:tr>
        <w:tc>
          <w:tcPr/>
          <w:p>
            <w:pPr>
              <w:pStyle w:val="Compact"/>
              <w:jc w:val="left"/>
            </w:pPr>
            <w:r>
              <w:t xml:space="preserve">Construction supervision – 100% completion</w:t>
            </w:r>
          </w:p>
        </w:tc>
        <w:tc>
          <w:tcPr/>
          <w:p>
            <w:pPr>
              <w:pStyle w:val="Compact"/>
              <w:jc w:val="left"/>
            </w:pPr>
            <w:r>
              <w:t xml:space="preserve">15%</w:t>
            </w:r>
          </w:p>
        </w:tc>
        <w:tc>
          <w:tcPr/>
          <w:p>
            <w:pPr>
              <w:pStyle w:val="Compact"/>
              <w:jc w:val="left"/>
            </w:pPr>
            <w:r>
              <w:t xml:space="preserve">132,132,000</w:t>
            </w:r>
          </w:p>
        </w:tc>
        <w:tc>
          <w:tcPr/>
          <w:p>
            <w:pPr>
              <w:pStyle w:val="Compact"/>
              <w:jc w:val="left"/>
            </w:pPr>
            <w:r>
              <w:t xml:space="preserve">Final site inspection sign-off</w:t>
            </w:r>
          </w:p>
        </w:tc>
      </w:tr>
      <w:tr>
        <w:tc>
          <w:tcPr/>
          <w:p>
            <w:pPr>
              <w:pStyle w:val="Compact"/>
              <w:jc w:val="left"/>
            </w:pPr>
            <w:r>
              <w:t xml:space="preserve">Warranty period completion</w:t>
            </w:r>
          </w:p>
        </w:tc>
        <w:tc>
          <w:tcPr/>
          <w:p>
            <w:pPr>
              <w:pStyle w:val="Compact"/>
              <w:jc w:val="left"/>
            </w:pPr>
            <w:r>
              <w:t xml:space="preserve">10%</w:t>
            </w:r>
          </w:p>
        </w:tc>
        <w:tc>
          <w:tcPr/>
          <w:p>
            <w:pPr>
              <w:pStyle w:val="Compact"/>
              <w:jc w:val="left"/>
            </w:pPr>
            <w:r>
              <w:t xml:space="preserve">88,088,000</w:t>
            </w:r>
          </w:p>
        </w:tc>
        <w:tc>
          <w:tcPr/>
          <w:p>
            <w:pPr>
              <w:pStyle w:val="Compact"/>
              <w:jc w:val="left"/>
            </w:pPr>
            <w:r>
              <w:t xml:space="preserve">12-month post-occupancy report</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extension must be submitted in writing to the undersigned office in Tashkent.</w:t>
      </w:r>
    </w:p>
    <w:p>
      <w:pPr>
        <w:numPr>
          <w:ilvl w:val="0"/>
          <w:numId w:val="1001"/>
        </w:numPr>
        <w:pStyle w:val="Compact"/>
      </w:pPr>
      <w:r>
        <w:t xml:space="preserve">All prices are quoted in Uzbek Som (UZS) and are inclusive of the</w:t>
      </w:r>
      <w:r>
        <w:t xml:space="preserve"> </w:t>
      </w:r>
      <w:r>
        <w:t xml:space="preserve">Civil Engineer</w:t>
      </w:r>
      <w:r>
        <w:t xml:space="preserve">'s professional fees, travel within Tashkent city limits, and standard engineering software licenses. International travel is excluded and will be billed at cost if required.</w:t>
      </w:r>
    </w:p>
    <w:p>
      <w:pPr>
        <w:numPr>
          <w:ilvl w:val="0"/>
          <w:numId w:val="1001"/>
        </w:numPr>
        <w:pStyle w:val="Compact"/>
      </w:pPr>
      <w:r>
        <w:t xml:space="preserve">The</w:t>
      </w:r>
      <w:r>
        <w:t xml:space="preserve"> </w:t>
      </w:r>
      <w:r>
        <w:t xml:space="preserve">Civil Engineer</w:t>
      </w:r>
      <w:r>
        <w:t xml:space="preserve"> </w:t>
      </w:r>
      <w:r>
        <w:t xml:space="preserve">shall comply with all applicable laws of the Republic of Uzbekistan, including the Construction Code, the Law on State Construction Supervision, and the municipal building regulations of Tashkent City.</w:t>
      </w:r>
    </w:p>
    <w:p>
      <w:pPr>
        <w:numPr>
          <w:ilvl w:val="0"/>
          <w:numId w:val="1001"/>
        </w:numPr>
        <w:pStyle w:val="Compact"/>
      </w:pPr>
      <w:r>
        <w:t xml:space="preserve">Payment terms: Net 30 days from the date of invoice issuance. Late payments shall accrue interest at the rate of 1.5% per month as stipulated under Uzbek commercial law.</w:t>
      </w:r>
    </w:p>
    <w:p>
      <w:pPr>
        <w:numPr>
          <w:ilvl w:val="0"/>
          <w:numId w:val="1001"/>
        </w:numPr>
        <w:pStyle w:val="Compact"/>
      </w:pPr>
      <w:r>
        <w:t xml:space="preserve">Any variation in scope exceeding 10% of the total contract value shall require a formal amendment to this</w:t>
      </w:r>
      <w:r>
        <w:t xml:space="preserve"> </w:t>
      </w:r>
      <w:r>
        <w:t xml:space="preserve">Quotation Estimate</w:t>
      </w:r>
      <w:r>
        <w:t xml:space="preserve">, signed by both parties.</w:t>
      </w:r>
    </w:p>
    <w:p>
      <w:pPr>
        <w:numPr>
          <w:ilvl w:val="0"/>
          <w:numId w:val="1001"/>
        </w:numPr>
        <w:pStyle w:val="Compact"/>
      </w:pPr>
      <w:r>
        <w:t xml:space="preserve">The</w:t>
      </w:r>
      <w:r>
        <w:t xml:space="preserve"> </w:t>
      </w:r>
      <w:r>
        <w:t xml:space="preserve">Civil Engineer</w:t>
      </w:r>
      <w:r>
        <w:t xml:space="preserve"> </w:t>
      </w:r>
      <w:r>
        <w:t xml:space="preserve">shall maintain professional indemnity insurance with a minimum coverage of 500,000,000 UZS throughout the project duration in</w:t>
      </w:r>
      <w:r>
        <w:t xml:space="preserve"> </w:t>
      </w:r>
      <w:r>
        <w:t xml:space="preserve">Uzbekistan Tashkent</w:t>
      </w:r>
      <w:r>
        <w:t xml:space="preserve">.</w:t>
      </w:r>
    </w:p>
    <w:p>
      <w:pPr>
        <w:numPr>
          <w:ilvl w:val="0"/>
          <w:numId w:val="1001"/>
        </w:numPr>
        <w:pStyle w:val="Compact"/>
      </w:pPr>
      <w:r>
        <w:t xml:space="preserve">Disputes arising from this agreement shall be resolved through arbitration at the International Arbitration Center of the Chamber of Commerce and Industry of the Republic of Uzbekistan, seated in Tashkent.</w:t>
      </w:r>
    </w:p>
    <w:p>
      <w:pPr>
        <w:numPr>
          <w:ilvl w:val="0"/>
          <w:numId w:val="1001"/>
        </w:numPr>
        <w:pStyle w:val="Compact"/>
      </w:pPr>
      <w:r>
        <w:t xml:space="preserve">Confidentiality: All project data, drawings, and site information remain the exclusive property of the Client. The</w:t>
      </w:r>
      <w:r>
        <w:t xml:space="preserve"> </w:t>
      </w:r>
      <w:r>
        <w:t xml:space="preserve">Civil Engineer</w:t>
      </w:r>
      <w:r>
        <w:t xml:space="preserve"> </w:t>
      </w:r>
      <w:r>
        <w:t xml:space="preserve">shall not disclose any proprietary information to third parties without written consent.</w:t>
      </w:r>
    </w:p>
    <w:p>
      <w:pPr>
        <w:numPr>
          <w:ilvl w:val="0"/>
          <w:numId w:val="1001"/>
        </w:numPr>
        <w:pStyle w:val="Compact"/>
      </w:pPr>
      <w:r>
        <w:t xml:space="preserve">Force majeure events, including but not limited to seismic activity, government-mandated shutdowns, or natural disasters affecting the Tashkent region, shall suspend obligations without penalty for a period not exceeding 90 days.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constitutes a binding offer for the provision of</w:t>
      </w:r>
      <w:r>
        <w:t xml:space="preserve"> </w:t>
      </w:r>
      <w:r>
        <w:t xml:space="preserve">Civil Engineer</w:t>
      </w:r>
      <w:r>
        <w:t xml:space="preserve"> </w:t>
      </w:r>
      <w:r>
        <w:t xml:space="preserve">services for the specified project in</w:t>
      </w:r>
      <w:r>
        <w:t xml:space="preserve"> </w:t>
      </w:r>
      <w:r>
        <w:t xml:space="preserve">Uzbekistan Tashkent</w:t>
      </w:r>
      <w:r>
        <w:t xml:space="preserve">, subject to the terms and conditions outlined herein.</w:t>
      </w:r>
    </w:p>
    <w:p>
      <w:pPr>
        <w:pStyle w:val="BodyText"/>
      </w:pPr>
      <w:r>
        <w:rPr>
          <w:bCs/>
          <w:b/>
        </w:rPr>
        <w:t xml:space="preserve">For and on behalf of:</w:t>
      </w:r>
      <w:r>
        <w:br/>
      </w:r>
      <w:r>
        <w:t xml:space="preserve">Tashkent Engineering &amp; Infrastructure Solutions LLP</w:t>
      </w:r>
    </w:p>
    <w:p>
      <w:pPr>
        <w:pStyle w:val="BodyText"/>
      </w:pPr>
      <w:r>
        <w:t xml:space="preserve">Name: _________________________</w:t>
      </w:r>
    </w:p>
    <w:p>
      <w:pPr>
        <w:pStyle w:val="BodyText"/>
      </w:pPr>
      <w:r>
        <w:t xml:space="preserve">Title: Lead Civil Engineer /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w:t>
      </w:r>
      <w:r>
        <w:br/>
      </w:r>
      <w:r>
        <w:t xml:space="preserve">Uzbekistan State Construction Authority (USCA)</w:t>
      </w:r>
    </w:p>
    <w:p>
      <w:pPr>
        <w:pStyle w:val="BodyText"/>
      </w:pPr>
      <w:r>
        <w:t xml:space="preserve">Name: _________________________</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(QTE-2025-CE-0312) is issued by Tashkent Engineering &amp; Infrastructure Solutions LLP, registered in Tashkent, Uzbekistan. All engineering services are delivered in compliance with the national standards of the Republic of Uzbekistan. For inquiries, please contact our office at 14 Amir Temur Avenue, Tashkent, 100000, Uzbekistan.</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Uzbekistan Tashkent</dc:title>
  <dc:creator/>
  <dc:language>en</dc:language>
  <cp:keywords/>
  <dcterms:created xsi:type="dcterms:W3CDTF">2026-10-10T01:22:40Z</dcterms:created>
  <dcterms:modified xsi:type="dcterms:W3CDTF">2026-10-10T01:22:40Z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