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Argentina</w:t>
      </w:r>
      <w:r>
        <w:t xml:space="preserve"> </w:t>
      </w:r>
      <w:r>
        <w:t xml:space="preserve">Córdoba</w:t>
      </w:r>
    </w:p>
    <w:bookmarkStart w:id="20" w:name="quotation-estimate"/>
    <w:p>
      <w:pPr>
        <w:pStyle w:val="Heading1"/>
      </w:pPr>
      <w:r>
        <w:t xml:space="preserve">QUOTATION ESTIMATE</w:t>
      </w:r>
    </w:p>
    <w:p>
      <w:pPr>
        <w:pStyle w:val="FirstParagraph"/>
      </w:pPr>
      <w:r>
        <w:t xml:space="preserve">Professional Computer Engineer Services</w:t>
      </w:r>
    </w:p>
    <w:p>
      <w:pPr>
        <w:pStyle w:val="BodyText"/>
      </w:pPr>
      <w:r>
        <w:t xml:space="preserve">Argentina Córdoba — Provincial Capital Region</w:t>
      </w:r>
    </w:p>
    <w:p>
      <w:pPr>
        <w:pStyle w:val="BodyText"/>
      </w:pPr>
      <w:r>
        <w:t xml:space="preserve">Document Reference: QE-2025-CBA-0472 | Issued: June 15, 2025</w:t>
      </w:r>
    </w:p>
    <w:bookmarkEnd w:id="20"/>
    <w:p>
      <w:pPr>
        <w:pStyle w:val="BodyText"/>
      </w:pPr>
      <w:r>
        <w:rPr>
          <w:bCs/>
          <w:b/>
        </w:rPr>
        <w:t xml:space="preserve">Prepared By:</w:t>
      </w:r>
      <w:r>
        <w:t xml:space="preserve"> </w:t>
      </w:r>
      <w:r>
        <w:t xml:space="preserve">Ing. Marcos E. Gutiérrez</w:t>
      </w:r>
      <w:r>
        <w:br/>
      </w:r>
      <w:r>
        <w:t xml:space="preserve">Senior Computer Engineer</w:t>
      </w:r>
      <w:r>
        <w:br/>
      </w:r>
      <w:r>
        <w:t xml:space="preserve">Gutiérrez &amp; Asociados IT Solutions</w:t>
      </w:r>
      <w:r>
        <w:br/>
      </w:r>
      <w:r>
        <w:t xml:space="preserve">Av. Vélez Sarsfield 1245, Piso 8</w:t>
      </w:r>
      <w:r>
        <w:br/>
      </w:r>
      <w:r>
        <w:t xml:space="preserve">Córdoba Capital, Argentina</w:t>
      </w:r>
      <w:r>
        <w:br/>
      </w:r>
      <w:r>
        <w:t xml:space="preserve">Tel: +54 (351) 422-8890</w:t>
      </w:r>
      <w:r>
        <w:br/>
      </w:r>
      <w:r>
        <w:t xml:space="preserve">Email: m.gutierrez@gutierrezit.com.ar</w:t>
      </w:r>
    </w:p>
    <w:p>
      <w:pPr>
        <w:pStyle w:val="BodyText"/>
      </w:pPr>
      <w:r>
        <w:rPr>
          <w:bCs/>
          <w:b/>
        </w:rPr>
        <w:t xml:space="preserve">Prepared For:</w:t>
      </w:r>
      <w:r>
        <w:t xml:space="preserve"> </w:t>
      </w:r>
      <w:r>
        <w:t xml:space="preserve">Empresa Industrial del Litoral S.A.</w:t>
      </w:r>
      <w:r>
        <w:br/>
      </w:r>
      <w:r>
        <w:t xml:space="preserve">Attn: Lic. Carolina Méndez</w:t>
      </w:r>
      <w:r>
        <w:br/>
      </w:r>
      <w:r>
        <w:t xml:space="preserve">Director of Operations</w:t>
      </w:r>
      <w:r>
        <w:br/>
      </w:r>
      <w:r>
        <w:t xml:space="preserve">Ruta 9 Km 102, Villa María</w:t>
      </w:r>
      <w:r>
        <w:br/>
      </w:r>
      <w:r>
        <w:t xml:space="preserve">Córdoba, Argentina</w:t>
      </w:r>
      <w:r>
        <w:br/>
      </w:r>
      <w:r>
        <w:t xml:space="preserve">Tel: +54 (353) 455-7712</w:t>
      </w:r>
      <w:r>
        <w:br/>
      </w:r>
      <w:r>
        <w:t xml:space="preserve">Email: c.mendez@eil-sa.com.ar</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Gutiérrez &amp; Asociados IT Solutions to Empresa Industrial del Litoral S.A. for the provision of specialized</w:t>
      </w:r>
      <w:r>
        <w:t xml:space="preserve"> </w:t>
      </w:r>
      <w:r>
        <w:t xml:space="preserve">Computer Engineer</w:t>
      </w:r>
      <w:r>
        <w:t xml:space="preserve"> </w:t>
      </w:r>
      <w:r>
        <w:t xml:space="preserve">consulting, system architecture design, and full-cycle IT infrastructure implementation services. All professional services described herein will be executed within the jurisdiction of</w:t>
      </w:r>
      <w:r>
        <w:t xml:space="preserve"> </w:t>
      </w:r>
      <w:r>
        <w:t xml:space="preserve">Argentina Córdoba</w:t>
      </w:r>
      <w:r>
        <w:t xml:space="preserve">, specifically covering the provincial capital and the surrounding industrial corridors of Villa María, Río Cuarto, and Alta Gracia. This document constitutes a binding commercial proposal subject to the terms and conditions outlined in Section 7 below.</w:t>
      </w:r>
    </w:p>
    <w:bookmarkEnd w:id="21"/>
    <w:bookmarkStart w:id="22" w:name="scope-of-work-computer-engineer-services"/>
    <w:p>
      <w:pPr>
        <w:pStyle w:val="Heading2"/>
      </w:pPr>
      <w:r>
        <w:t xml:space="preserve">2. Scope of Work — Computer Engineer Services</w:t>
      </w:r>
    </w:p>
    <w:p>
      <w:pPr>
        <w:pStyle w:val="FirstParagraph"/>
      </w:pPr>
      <w:r>
        <w:t xml:space="preserve">The</w:t>
      </w:r>
      <w:r>
        <w:t xml:space="preserve"> </w:t>
      </w:r>
      <w:r>
        <w:t xml:space="preserve">Computer Engineer</w:t>
      </w:r>
      <w:r>
        <w:t xml:space="preserve"> </w:t>
      </w:r>
      <w:r>
        <w:t xml:space="preserve">engagement encompasses the following deliverables, all tailored to the operational requirements of the client's manufacturing and logistics operations in</w:t>
      </w:r>
      <w:r>
        <w:t xml:space="preserve"> </w:t>
      </w:r>
      <w:r>
        <w:t xml:space="preserve">Argentina Córdoba</w:t>
      </w:r>
      <w:r>
        <w:t xml:space="preserve">:</w:t>
      </w:r>
    </w:p>
    <w:p>
      <w:pPr>
        <w:numPr>
          <w:ilvl w:val="0"/>
          <w:numId w:val="1001"/>
        </w:numPr>
        <w:pStyle w:val="Compact"/>
      </w:pPr>
      <w:r>
        <w:rPr>
          <w:bCs/>
          <w:b/>
        </w:rPr>
        <w:t xml:space="preserve">System Architecture Design:</w:t>
      </w:r>
      <w:r>
        <w:t xml:space="preserve"> </w:t>
      </w:r>
      <w:r>
        <w:t xml:space="preserve">Complete design of a redundant server infrastructure supporting the client's ERP system, including load-balancing strategies, failover protocols, and data center layout optimization for the Córdoba Capital facility.</w:t>
      </w:r>
    </w:p>
    <w:p>
      <w:pPr>
        <w:numPr>
          <w:ilvl w:val="0"/>
          <w:numId w:val="1001"/>
        </w:numPr>
        <w:pStyle w:val="Compact"/>
      </w:pPr>
      <w:r>
        <w:rPr>
          <w:bCs/>
          <w:b/>
        </w:rPr>
        <w:t xml:space="preserve">Network Infrastructure Audit:</w:t>
      </w:r>
      <w:r>
        <w:t xml:space="preserve"> </w:t>
      </w:r>
      <w:r>
        <w:t xml:space="preserve">Comprehensive assessment of the existing LAN/WAN topology across all three operational sites in Argentina Córdoba, with a detailed remediation plan and bandwidth upgrade recommendations.</w:t>
      </w:r>
    </w:p>
    <w:p>
      <w:pPr>
        <w:numPr>
          <w:ilvl w:val="0"/>
          <w:numId w:val="1001"/>
        </w:numPr>
        <w:pStyle w:val="Compact"/>
      </w:pPr>
      <w:r>
        <w:rPr>
          <w:bCs/>
          <w:b/>
        </w:rPr>
        <w:t xml:space="preserve">Custom Software Development:</w:t>
      </w:r>
      <w:r>
        <w:t xml:space="preserve"> </w:t>
      </w:r>
      <w:r>
        <w:t xml:space="preserve">Development of a proprietary inventory management module (C# / .NET 8) integrated with the existing SAP Business One platform, including REST API endpoints and a responsive web dashboard.</w:t>
      </w:r>
    </w:p>
    <w:p>
      <w:pPr>
        <w:numPr>
          <w:ilvl w:val="0"/>
          <w:numId w:val="1001"/>
        </w:numPr>
        <w:pStyle w:val="Compact"/>
      </w:pPr>
      <w:r>
        <w:rPr>
          <w:bCs/>
          <w:b/>
        </w:rPr>
        <w:t xml:space="preserve">Cybersecurity Implementation:</w:t>
      </w:r>
      <w:r>
        <w:t xml:space="preserve"> </w:t>
      </w:r>
      <w:r>
        <w:t xml:space="preserve">Deployment of a multi-layered security framework including next-generation firewalls, endpoint detection and response (EDR) agents, and a Security Operations Center (SOC) monitoring protocol compliant with Argentine data protection regulations (Ley 25.326).</w:t>
      </w:r>
    </w:p>
    <w:p>
      <w:pPr>
        <w:numPr>
          <w:ilvl w:val="0"/>
          <w:numId w:val="1001"/>
        </w:numPr>
        <w:pStyle w:val="Compact"/>
      </w:pPr>
      <w:r>
        <w:rPr>
          <w:bCs/>
          <w:b/>
        </w:rPr>
        <w:t xml:space="preserve">Technical Training &amp; Documentation:</w:t>
      </w:r>
      <w:r>
        <w:t xml:space="preserve"> </w:t>
      </w:r>
      <w:r>
        <w:t xml:space="preserve">Four (4) on-site training sessions for the client's IT staff in Córdoba, plus full technical documentation in both Spanish and English.</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Unit Cost (ARS)</w:t>
            </w:r>
          </w:p>
        </w:tc>
        <w:tc>
          <w:tcPr/>
          <w:p>
            <w:pPr>
              <w:pStyle w:val="Compact"/>
              <w:jc w:val="left"/>
            </w:pPr>
            <w:r>
              <w:t xml:space="preserve">Total (ARS)</w:t>
            </w:r>
          </w:p>
        </w:tc>
        <w:tc>
          <w:tcPr/>
          <w:p>
            <w:pPr>
              <w:pStyle w:val="Compact"/>
              <w:jc w:val="left"/>
            </w:pPr>
            <w:r>
              <w:t xml:space="preserve">IVA (21%)</w:t>
            </w:r>
          </w:p>
        </w:tc>
      </w:tr>
      <w:tr>
        <w:tc>
          <w:tcPr/>
          <w:p>
            <w:pPr>
              <w:pStyle w:val="Compact"/>
              <w:jc w:val="left"/>
            </w:pPr>
            <w:r>
              <w:t xml:space="preserve">1</w:t>
            </w:r>
          </w:p>
        </w:tc>
        <w:tc>
          <w:tcPr/>
          <w:p>
            <w:pPr>
              <w:pStyle w:val="Compact"/>
              <w:jc w:val="left"/>
            </w:pPr>
            <w:r>
              <w:t xml:space="preserve">System Architecture Design &amp; Documentation</w:t>
            </w:r>
          </w:p>
        </w:tc>
        <w:tc>
          <w:tcPr/>
          <w:p>
            <w:pPr>
              <w:pStyle w:val="Compact"/>
              <w:jc w:val="left"/>
            </w:pPr>
            <w:r>
              <w:t xml:space="preserve">3 weeks</w:t>
            </w:r>
          </w:p>
        </w:tc>
        <w:tc>
          <w:tcPr/>
          <w:p>
            <w:pPr>
              <w:pStyle w:val="Compact"/>
              <w:jc w:val="left"/>
            </w:pPr>
            <w:r>
              <w:t xml:space="preserve">1,250,000</w:t>
            </w:r>
          </w:p>
        </w:tc>
        <w:tc>
          <w:tcPr/>
          <w:p>
            <w:pPr>
              <w:pStyle w:val="Compact"/>
              <w:jc w:val="left"/>
            </w:pPr>
            <w:r>
              <w:t xml:space="preserve">3,750,000</w:t>
            </w:r>
          </w:p>
        </w:tc>
        <w:tc>
          <w:tcPr/>
          <w:p>
            <w:pPr>
              <w:pStyle w:val="Compact"/>
              <w:jc w:val="left"/>
            </w:pPr>
            <w:r>
              <w:t xml:space="preserve">787,500</w:t>
            </w:r>
          </w:p>
        </w:tc>
      </w:tr>
      <w:tr>
        <w:tc>
          <w:tcPr/>
          <w:p>
            <w:pPr>
              <w:pStyle w:val="Compact"/>
              <w:jc w:val="left"/>
            </w:pPr>
            <w:r>
              <w:t xml:space="preserve">2</w:t>
            </w:r>
          </w:p>
        </w:tc>
        <w:tc>
          <w:tcPr/>
          <w:p>
            <w:pPr>
              <w:pStyle w:val="Compact"/>
              <w:jc w:val="left"/>
            </w:pPr>
            <w:r>
              <w:t xml:space="preserve">Network Infrastructure Audit (3 sites, Argentina Córdoba)</w:t>
            </w:r>
          </w:p>
        </w:tc>
        <w:tc>
          <w:tcPr/>
          <w:p>
            <w:pPr>
              <w:pStyle w:val="Compact"/>
              <w:jc w:val="left"/>
            </w:pPr>
            <w:r>
              <w:t xml:space="preserve">2 weeks</w:t>
            </w:r>
          </w:p>
        </w:tc>
        <w:tc>
          <w:tcPr/>
          <w:p>
            <w:pPr>
              <w:pStyle w:val="Compact"/>
              <w:jc w:val="left"/>
            </w:pPr>
            <w:r>
              <w:t xml:space="preserve">980,000</w:t>
            </w:r>
          </w:p>
        </w:tc>
        <w:tc>
          <w:tcPr/>
          <w:p>
            <w:pPr>
              <w:pStyle w:val="Compact"/>
              <w:jc w:val="left"/>
            </w:pPr>
            <w:r>
              <w:t xml:space="preserve">1,960,000</w:t>
            </w:r>
          </w:p>
        </w:tc>
        <w:tc>
          <w:tcPr/>
          <w:p>
            <w:pPr>
              <w:pStyle w:val="Compact"/>
              <w:jc w:val="left"/>
            </w:pPr>
            <w:r>
              <w:t xml:space="preserve">411,600</w:t>
            </w:r>
          </w:p>
        </w:tc>
      </w:tr>
      <w:tr>
        <w:tc>
          <w:tcPr/>
          <w:p>
            <w:pPr>
              <w:pStyle w:val="Compact"/>
              <w:jc w:val="left"/>
            </w:pPr>
            <w:r>
              <w:t xml:space="preserve">3</w:t>
            </w:r>
          </w:p>
        </w:tc>
        <w:tc>
          <w:tcPr/>
          <w:p>
            <w:pPr>
              <w:pStyle w:val="Compact"/>
              <w:jc w:val="left"/>
            </w:pPr>
            <w:r>
              <w:t xml:space="preserve">Custom Software Development &amp; Integration</w:t>
            </w:r>
          </w:p>
        </w:tc>
        <w:tc>
          <w:tcPr/>
          <w:p>
            <w:pPr>
              <w:pStyle w:val="Compact"/>
              <w:jc w:val="left"/>
            </w:pPr>
            <w:r>
              <w:t xml:space="preserve">10 weeks</w:t>
            </w:r>
          </w:p>
        </w:tc>
        <w:tc>
          <w:tcPr/>
          <w:p>
            <w:pPr>
              <w:pStyle w:val="Compact"/>
              <w:jc w:val="left"/>
            </w:pPr>
            <w:r>
              <w:t xml:space="preserve">2,400,000</w:t>
            </w:r>
          </w:p>
        </w:tc>
        <w:tc>
          <w:tcPr/>
          <w:p>
            <w:pPr>
              <w:pStyle w:val="Compact"/>
              <w:jc w:val="left"/>
            </w:pPr>
            <w:r>
              <w:t xml:space="preserve">24,000,000</w:t>
            </w:r>
          </w:p>
        </w:tc>
        <w:tc>
          <w:tcPr/>
          <w:p>
            <w:pPr>
              <w:pStyle w:val="Compact"/>
              <w:jc w:val="left"/>
            </w:pPr>
            <w:r>
              <w:t xml:space="preserve">5,040,000</w:t>
            </w:r>
          </w:p>
        </w:tc>
      </w:tr>
      <w:tr>
        <w:tc>
          <w:tcPr/>
          <w:p>
            <w:pPr>
              <w:pStyle w:val="Compact"/>
              <w:jc w:val="left"/>
            </w:pPr>
            <w:r>
              <w:t xml:space="preserve">4</w:t>
            </w:r>
          </w:p>
        </w:tc>
        <w:tc>
          <w:tcPr/>
          <w:p>
            <w:pPr>
              <w:pStyle w:val="Compact"/>
              <w:jc w:val="left"/>
            </w:pPr>
            <w:r>
              <w:t xml:space="preserve">Cybersecurity Framework Deployment</w:t>
            </w:r>
          </w:p>
        </w:tc>
        <w:tc>
          <w:tcPr/>
          <w:p>
            <w:pPr>
              <w:pStyle w:val="Compact"/>
              <w:jc w:val="left"/>
            </w:pPr>
            <w:r>
              <w:t xml:space="preserve">4 weeks</w:t>
            </w:r>
          </w:p>
        </w:tc>
        <w:tc>
          <w:tcPr/>
          <w:p>
            <w:pPr>
              <w:pStyle w:val="Compact"/>
              <w:jc w:val="left"/>
            </w:pPr>
            <w:r>
              <w:t xml:space="preserve">1,850,000</w:t>
            </w:r>
          </w:p>
        </w:tc>
        <w:tc>
          <w:tcPr/>
          <w:p>
            <w:pPr>
              <w:pStyle w:val="Compact"/>
              <w:jc w:val="left"/>
            </w:pPr>
            <w:r>
              <w:t xml:space="preserve">7,400,000</w:t>
            </w:r>
          </w:p>
        </w:tc>
        <w:tc>
          <w:tcPr/>
          <w:p>
            <w:pPr>
              <w:pStyle w:val="Compact"/>
              <w:jc w:val="left"/>
            </w:pPr>
            <w:r>
              <w:t xml:space="preserve">1,554,000</w:t>
            </w:r>
          </w:p>
        </w:tc>
      </w:tr>
      <w:tr>
        <w:tc>
          <w:tcPr/>
          <w:p>
            <w:pPr>
              <w:pStyle w:val="Compact"/>
              <w:jc w:val="left"/>
            </w:pPr>
            <w:r>
              <w:t xml:space="preserve">5</w:t>
            </w:r>
          </w:p>
        </w:tc>
        <w:tc>
          <w:tcPr/>
          <w:p>
            <w:pPr>
              <w:pStyle w:val="Compact"/>
              <w:jc w:val="left"/>
            </w:pPr>
            <w:r>
              <w:t xml:space="preserve">Technical Training Sessions (4 on-site, Córdoba)</w:t>
            </w:r>
          </w:p>
        </w:tc>
        <w:tc>
          <w:tcPr/>
          <w:p>
            <w:pPr>
              <w:pStyle w:val="Compact"/>
              <w:jc w:val="left"/>
            </w:pPr>
            <w:r>
              <w:t xml:space="preserve">2 days</w:t>
            </w:r>
          </w:p>
        </w:tc>
        <w:tc>
          <w:tcPr/>
          <w:p>
            <w:pPr>
              <w:pStyle w:val="Compact"/>
              <w:jc w:val="left"/>
            </w:pPr>
            <w:r>
              <w:t xml:space="preserve">420,000</w:t>
            </w:r>
          </w:p>
        </w:tc>
        <w:tc>
          <w:tcPr/>
          <w:p>
            <w:pPr>
              <w:pStyle w:val="Compact"/>
              <w:jc w:val="left"/>
            </w:pPr>
            <w:r>
              <w:t xml:space="preserve">1,680,000</w:t>
            </w:r>
          </w:p>
        </w:tc>
        <w:tc>
          <w:tcPr/>
          <w:p>
            <w:pPr>
              <w:pStyle w:val="Compact"/>
              <w:jc w:val="left"/>
            </w:pPr>
            <w:r>
              <w:t xml:space="preserve">352,800</w:t>
            </w:r>
          </w:p>
        </w:tc>
      </w:tr>
      <w:tr>
        <w:tc>
          <w:tcPr/>
          <w:p>
            <w:pPr>
              <w:pStyle w:val="Compact"/>
              <w:jc w:val="left"/>
            </w:pPr>
            <w:r>
              <w:t xml:space="preserve">6</w:t>
            </w:r>
          </w:p>
        </w:tc>
        <w:tc>
          <w:tcPr/>
          <w:p>
            <w:pPr>
              <w:pStyle w:val="Compact"/>
              <w:jc w:val="left"/>
            </w:pPr>
            <w:r>
              <w:t xml:space="preserve">Travel &amp; Logistics within Argentina Córdoba Province</w:t>
            </w:r>
          </w:p>
        </w:tc>
        <w:tc>
          <w:tcPr/>
          <w:p>
            <w:pPr>
              <w:pStyle w:val="Compact"/>
              <w:jc w:val="left"/>
            </w:pPr>
            <w:r>
              <w:t xml:space="preserve">18 weeks</w:t>
            </w:r>
          </w:p>
        </w:tc>
        <w:tc>
          <w:tcPr/>
          <w:p>
            <w:pPr>
              <w:pStyle w:val="Compact"/>
              <w:jc w:val="left"/>
            </w:pPr>
            <w:r>
              <w:t xml:space="preserve">185,000</w:t>
            </w:r>
          </w:p>
        </w:tc>
        <w:tc>
          <w:tcPr/>
          <w:p>
            <w:pPr>
              <w:pStyle w:val="Compact"/>
              <w:jc w:val="left"/>
            </w:pPr>
            <w:r>
              <w:t xml:space="preserve">3,330,000</w:t>
            </w:r>
          </w:p>
        </w:tc>
        <w:tc>
          <w:tcPr/>
          <w:p>
            <w:pPr>
              <w:pStyle w:val="Compact"/>
              <w:jc w:val="left"/>
            </w:pPr>
            <w:r>
              <w:t xml:space="preserve">699,300</w:t>
            </w:r>
          </w:p>
        </w:tc>
      </w:tr>
      <w:tr>
        <w:tc>
          <w:tcPr>
            <w:gridSpan w:val="4"/>
          </w:tcPr>
          <w:p>
            <w:pPr>
              <w:pStyle w:val="Compact"/>
              <w:jc w:val="left"/>
            </w:pPr>
            <w:r>
              <w:t xml:space="preserve">GRAND TOTAL (including IVA 21%)</w:t>
            </w:r>
          </w:p>
        </w:tc>
        <w:tc>
          <w:tcPr/>
          <w:p>
            <w:pPr>
              <w:pStyle w:val="Compact"/>
              <w:jc w:val="left"/>
            </w:pPr>
            <w:r>
              <w:t xml:space="preserve">42,120,000</w:t>
            </w:r>
          </w:p>
        </w:tc>
        <w:tc>
          <w:tcPr/>
          <w:p>
            <w:pPr>
              <w:pStyle w:val="Compact"/>
              <w:jc w:val="left"/>
            </w:pPr>
            <w:r>
              <w:t xml:space="preserve">8,845,200</w:t>
            </w:r>
          </w:p>
        </w:tc>
      </w:tr>
      <w:tr>
        <w:tc>
          <w:tcPr>
            <w:gridSpan w:val="5"/>
          </w:tcPr>
          <w:p>
            <w:pPr>
              <w:pStyle w:val="Compact"/>
              <w:jc w:val="right"/>
            </w:pPr>
            <w:r>
              <w:t xml:space="preserve">TOTAL AMOUNT DUE (ARS)</w:t>
            </w:r>
          </w:p>
        </w:tc>
        <w:tc>
          <w:tcPr/>
          <w:p>
            <w:pPr>
              <w:pStyle w:val="Compact"/>
              <w:jc w:val="left"/>
            </w:pPr>
            <w:r>
              <w:t xml:space="preserve">50,965,200</w:t>
            </w:r>
          </w:p>
        </w:tc>
      </w:tr>
    </w:tbl>
    <w:p>
      <w:pPr>
        <w:pStyle w:val="BodyText"/>
      </w:pPr>
      <w:r>
        <w:t xml:space="preserve">* All amounts are expressed in Argentine Pesos (ARS) at the official exchange rate in effect on the date of this Quotation Estimate. Hardware procurement costs (servers, switches, firewalls, workstations) are excluded and will be quoted separately upon client approval of the architecture design.</w:t>
      </w:r>
    </w:p>
    <w:bookmarkEnd w:id="23"/>
    <w:bookmarkStart w:id="24" w:name="project-timeline"/>
    <w:p>
      <w:pPr>
        <w:pStyle w:val="Heading2"/>
      </w:pPr>
      <w:r>
        <w:t xml:space="preserve">4. Project Timeline</w:t>
      </w:r>
    </w:p>
    <w:p>
      <w:pPr>
        <w:pStyle w:val="FirstParagraph"/>
      </w:pPr>
      <w:r>
        <w:t xml:space="preserve">The total estimated duration for the</w:t>
      </w:r>
      <w:r>
        <w:t xml:space="preserve"> </w:t>
      </w:r>
      <w:r>
        <w:t xml:space="preserve">Computer Engineer</w:t>
      </w:r>
      <w:r>
        <w:t xml:space="preserve"> </w:t>
      </w:r>
      <w:r>
        <w:t xml:space="preserve">engagement is eighteen (18) calendar weeks from the date of contract signature. The project will be executed in five overlapping phases as detailed in the attached Gantt chart (Annex A). All on-site work will be conducted at the client's facilities in</w:t>
      </w:r>
      <w:r>
        <w:t xml:space="preserve"> </w:t>
      </w:r>
      <w:r>
        <w:t xml:space="preserve">Argentina Córdoba</w:t>
      </w:r>
      <w:r>
        <w:t xml:space="preserve"> </w:t>
      </w:r>
      <w:r>
        <w:t xml:space="preserve">during standard business hours (Monday to Friday, 08:00–17:00 ART).</w:t>
      </w:r>
    </w:p>
    <w:bookmarkEnd w:id="24"/>
    <w:bookmarkStart w:id="25" w:name="payment-terms"/>
    <w:p>
      <w:pPr>
        <w:pStyle w:val="Heading2"/>
      </w:pPr>
      <w:r>
        <w:t xml:space="preserve">5. Payment Terms</w:t>
      </w:r>
    </w:p>
    <w:p>
      <w:pPr>
        <w:numPr>
          <w:ilvl w:val="0"/>
          <w:numId w:val="1002"/>
        </w:numPr>
        <w:pStyle w:val="Compact"/>
      </w:pPr>
      <w:r>
        <w:rPr>
          <w:bCs/>
          <w:b/>
        </w:rPr>
        <w:t xml:space="preserve">30%</w:t>
      </w:r>
      <w:r>
        <w:t xml:space="preserve"> </w:t>
      </w:r>
      <w:r>
        <w:t xml:space="preserve">advance payment upon contract execution (ARS 15,289,560).</w:t>
      </w:r>
    </w:p>
    <w:p>
      <w:pPr>
        <w:numPr>
          <w:ilvl w:val="0"/>
          <w:numId w:val="1002"/>
        </w:numPr>
        <w:pStyle w:val="Compact"/>
      </w:pPr>
      <w:r>
        <w:rPr>
          <w:bCs/>
          <w:b/>
        </w:rPr>
        <w:t xml:space="preserve">40%</w:t>
      </w:r>
      <w:r>
        <w:t xml:space="preserve"> </w:t>
      </w:r>
      <w:r>
        <w:t xml:space="preserve">upon completion of the software development phase and successful UAT (ARS 20,386,080).</w:t>
      </w:r>
    </w:p>
    <w:p>
      <w:pPr>
        <w:numPr>
          <w:ilvl w:val="0"/>
          <w:numId w:val="1002"/>
        </w:numPr>
        <w:pStyle w:val="Compact"/>
      </w:pPr>
      <w:r>
        <w:rPr>
          <w:bCs/>
          <w:b/>
        </w:rPr>
        <w:t xml:space="preserve">30%</w:t>
      </w:r>
      <w:r>
        <w:t xml:space="preserve"> </w:t>
      </w:r>
      <w:r>
        <w:t xml:space="preserve">upon final delivery, acceptance, and handover of all documentation (ARS 15,289,560).</w:t>
      </w:r>
    </w:p>
    <w:p>
      <w:pPr>
        <w:numPr>
          <w:ilvl w:val="0"/>
          <w:numId w:val="1002"/>
        </w:numPr>
        <w:pStyle w:val="Compact"/>
      </w:pPr>
      <w:r>
        <w:t xml:space="preserve">Payment via bank transfer to the account specified in the commercial invoice. Late payments will accrue interest at the rate established by the Banco de la Nación Argentina for overdue commercial credits.</w:t>
      </w:r>
    </w:p>
    <w:bookmarkEnd w:id="25"/>
    <w:bookmarkStart w:id="26" w:name="validity-of-this-quotation-estimate"/>
    <w:p>
      <w:pPr>
        <w:pStyle w:val="Heading2"/>
      </w:pPr>
      <w:r>
        <w:t xml:space="preserve">6. Validity of This Quotation Estimate</w:t>
      </w:r>
    </w:p>
    <w:p>
      <w:pPr>
        <w:pStyle w:val="FirstParagraph"/>
      </w:pPr>
      <w:r>
        <w:t xml:space="preserve">This</w:t>
      </w:r>
      <w:r>
        <w:t xml:space="preserve"> </w:t>
      </w:r>
      <w:r>
        <w:t xml:space="preserve">Quotation Estimate</w:t>
      </w:r>
      <w:r>
        <w:t xml:space="preserve"> </w:t>
      </w:r>
      <w:r>
        <w:t xml:space="preserve">remains valid for a period of thirty (30) calendar days from the date of issue (June 15, 2025). After this period, pricing may be subject to revision due to fluctuations in the Argentine peso exchange rate, changes in applicable tax legislation in</w:t>
      </w:r>
      <w:r>
        <w:t xml:space="preserve"> </w:t>
      </w:r>
      <w:r>
        <w:t xml:space="preserve">Argentina Córdoba</w:t>
      </w:r>
      <w:r>
        <w:t xml:space="preserve">, or adjustments in the</w:t>
      </w:r>
      <w:r>
        <w:t xml:space="preserve"> </w:t>
      </w:r>
      <w:r>
        <w:t xml:space="preserve">Computer Engineer</w:t>
      </w:r>
      <w:r>
        <w:t xml:space="preserve"> </w:t>
      </w:r>
      <w:r>
        <w:t xml:space="preserve">professional fee schedule. The client is advised to confirm acceptance in writing within the validity window to secure the quoted rates.</w:t>
      </w:r>
    </w:p>
    <w:bookmarkEnd w:id="26"/>
    <w:bookmarkStart w:id="27" w:name="terms-and-conditions"/>
    <w:p>
      <w:pPr>
        <w:pStyle w:val="Heading2"/>
      </w:pPr>
      <w:r>
        <w:t xml:space="preserve">7. Terms and Conditions</w:t>
      </w:r>
    </w:p>
    <w:p>
      <w:pPr>
        <w:numPr>
          <w:ilvl w:val="0"/>
          <w:numId w:val="1003"/>
        </w:numPr>
        <w:pStyle w:val="Compact"/>
      </w:pPr>
      <w:r>
        <w:t xml:space="preserve">This Quotation Estimate does not constitute a contract until formally accepted in writing by both parties and countersigned by their respective legal representatives.</w:t>
      </w:r>
    </w:p>
    <w:p>
      <w:pPr>
        <w:numPr>
          <w:ilvl w:val="0"/>
          <w:numId w:val="1003"/>
        </w:numPr>
        <w:pStyle w:val="Compact"/>
      </w:pPr>
      <w:r>
        <w:t xml:space="preserve">All intellectual property rights in the custom software developed under this engagement shall transfer to the client upon full payment. The Computer Engineer retains the right to reference the project in professional portfolios with prior written consent.</w:t>
      </w:r>
    </w:p>
    <w:p>
      <w:pPr>
        <w:numPr>
          <w:ilvl w:val="0"/>
          <w:numId w:val="1003"/>
        </w:numPr>
        <w:pStyle w:val="Compact"/>
      </w:pPr>
      <w:r>
        <w:t xml:space="preserve">The provider shall maintain professional liability insurance with a minimum coverage of ARS 50,000,000, valid throughout the project duration in Argentina Córdoba.</w:t>
      </w:r>
    </w:p>
    <w:p>
      <w:pPr>
        <w:numPr>
          <w:ilvl w:val="0"/>
          <w:numId w:val="1003"/>
        </w:numPr>
        <w:pStyle w:val="Compact"/>
      </w:pPr>
      <w:r>
        <w:t xml:space="preserve">Any scope modifications exceeding 10% of the original budget must be documented in a formal change order signed by both parties before execution.</w:t>
      </w:r>
    </w:p>
    <w:p>
      <w:pPr>
        <w:numPr>
          <w:ilvl w:val="0"/>
          <w:numId w:val="1003"/>
        </w:numPr>
        <w:pStyle w:val="Compact"/>
      </w:pPr>
      <w:r>
        <w:t xml:space="preserve">Disputes arising from this Quotation Estimate or the subsequent contract shall be resolved through arbitration in Córdoba Capital, Argentina, in accordance with the rules of the Cámara de Comercio de Córdoba.</w:t>
      </w:r>
    </w:p>
    <w:p>
      <w:pPr>
        <w:numPr>
          <w:ilvl w:val="0"/>
          <w:numId w:val="1003"/>
        </w:numPr>
        <w:pStyle w:val="Compact"/>
      </w:pPr>
      <w:r>
        <w:t xml:space="preserve">Confidentiality obligations shall survive the termination of the contract for a period of five (5) years.</w:t>
      </w:r>
    </w:p>
    <w:bookmarkEnd w:id="27"/>
    <w:bookmarkStart w:id="28" w:name="acceptance-and-signatures"/>
    <w:p>
      <w:pPr>
        <w:pStyle w:val="Heading2"/>
      </w:pPr>
      <w:r>
        <w:t xml:space="preserve">8. Acceptance and Signatures</w:t>
      </w:r>
    </w:p>
    <w:p>
      <w:pPr>
        <w:pStyle w:val="FirstParagraph"/>
      </w:pPr>
      <w:r>
        <w:rPr>
          <w:bCs/>
          <w:b/>
        </w:rPr>
        <w:t xml:space="preserve">For the Provider:</w:t>
      </w:r>
    </w:p>
    <w:p>
      <w:pPr>
        <w:pStyle w:val="BodyText"/>
      </w:pPr>
      <w:r>
        <w:t xml:space="preserve">Ing. Marcos E. Gutiérrez</w:t>
      </w:r>
      <w:r>
        <w:br/>
      </w:r>
      <w:r>
        <w:t xml:space="preserve">Senior Computer Engineer</w:t>
      </w:r>
      <w:r>
        <w:br/>
      </w:r>
      <w:r>
        <w:t xml:space="preserve">Gutiérrez &amp; Asociados IT Solutions</w:t>
      </w:r>
      <w:r>
        <w:br/>
      </w:r>
      <w:r>
        <w:t xml:space="preserve">CUIT: 30-XXXXXXXX-X</w:t>
      </w:r>
    </w:p>
    <w:p>
      <w:pPr>
        <w:pStyle w:val="BodyText"/>
      </w:pPr>
      <w:r>
        <w:rPr>
          <w:bCs/>
          <w:b/>
        </w:rPr>
        <w:t xml:space="preserve">For the Client:</w:t>
      </w:r>
    </w:p>
    <w:p>
      <w:pPr>
        <w:pStyle w:val="BodyText"/>
      </w:pPr>
      <w:r>
        <w:t xml:space="preserve">Lic. Carolina Méndez</w:t>
      </w:r>
      <w:r>
        <w:br/>
      </w:r>
      <w:r>
        <w:t xml:space="preserve">Director of Operations</w:t>
      </w:r>
      <w:r>
        <w:br/>
      </w:r>
      <w:r>
        <w:t xml:space="preserve">Empresa Industrial del Litoral S.A.</w:t>
      </w:r>
      <w:r>
        <w:br/>
      </w:r>
      <w:r>
        <w:t xml:space="preserve">CUIT: 30-XXXXXXXX-X</w:t>
      </w:r>
    </w:p>
    <w:p>
      <w:pPr>
        <w:pStyle w:val="BodyText"/>
      </w:pPr>
      <w:r>
        <w:t xml:space="preserve">This Quotation Estimate was prepared by a licensed Computer Engineer registered with the Colegio de Ingenieros de la Provincia de Córdoba (Matrícula N.º 12.847).</w:t>
      </w:r>
      <w:r>
        <w:br/>
      </w:r>
      <w:r>
        <w:t xml:space="preserve">Document issued in Córdoba, Argentina — June 15, 2025. — Page 1 of 1</w:t>
      </w:r>
      <w:r>
        <w:br/>
      </w:r>
      <w:r>
        <w:t xml:space="preserve">© 2025 Gutiérrez &amp; Asociados IT Solutions.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Computer Engineer Services - Argentina Córdoba</dc:title>
  <dc:creator/>
  <dc:language>en</dc:language>
  <cp:keywords/>
  <dcterms:created xsi:type="dcterms:W3CDTF">2026-10-10T03:05:20Z</dcterms:created>
  <dcterms:modified xsi:type="dcterms:W3CDTF">2026-10-10T03:05:20Z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