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OFFICIAL DOCUMENT</w:t>
      </w:r>
    </w:p>
    <w:p>
      <w:pPr>
        <w:pStyle w:val="BodyText"/>
      </w:pPr>
      <w:r>
        <w:t xml:space="preserve">Professional Computer Engineer Services</w:t>
      </w:r>
    </w:p>
    <w:p>
      <w:pPr>
        <w:pStyle w:val="BodyText"/>
      </w:pPr>
      <w:r>
        <w:t xml:space="preserve">Prepared for Deployment in Russia Moscow</w:t>
      </w:r>
    </w:p>
    <w:bookmarkEnd w:id="20"/>
    <w:p>
      <w:pPr>
        <w:pStyle w:val="BodyText"/>
      </w:pPr>
      <w:r>
        <w:rPr>
          <w:bCs/>
          <w:b/>
        </w:rPr>
        <w:t xml:space="preserve">Quotation No.:</w:t>
      </w:r>
      <w:r>
        <w:t xml:space="preserve"> </w:t>
      </w:r>
      <w:r>
        <w:t xml:space="preserve">QE-RM-2025-04782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TechBridge Engineering Solutions Ltd.</w:t>
      </w:r>
      <w:r>
        <w:br/>
      </w:r>
      <w:r>
        <w:rPr>
          <w:bCs/>
          <w:b/>
        </w:rPr>
        <w:t xml:space="preserve">Address:</w:t>
      </w:r>
      <w:r>
        <w:t xml:space="preserve"> </w:t>
      </w:r>
      <w:r>
        <w:t xml:space="preserve">14 Krasnaya Presnaya St., Moscow, Russia 123112</w:t>
      </w:r>
      <w:r>
        <w:br/>
      </w:r>
      <w:r>
        <w:rPr>
          <w:bCs/>
          <w:b/>
        </w:rPr>
        <w:t xml:space="preserve">Contact:</w:t>
      </w:r>
      <w:r>
        <w:t xml:space="preserve"> </w:t>
      </w:r>
      <w:r>
        <w:t xml:space="preserve">+7 (495) 555-0142 | quotes@techbridge-eng.ru</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State Industrial Automation Corporation (SIAC)</w:t>
            </w:r>
          </w:p>
        </w:tc>
      </w:tr>
      <w:tr>
        <w:tc>
          <w:tcPr/>
          <w:p>
            <w:pPr>
              <w:pStyle w:val="Compact"/>
              <w:jc w:val="left"/>
            </w:pPr>
            <w:r>
              <w:rPr>
                <w:bCs/>
                <w:b/>
              </w:rPr>
              <w:t xml:space="preserve">Client Address:</w:t>
            </w:r>
          </w:p>
        </w:tc>
        <w:tc>
          <w:tcPr/>
          <w:p>
            <w:pPr>
              <w:pStyle w:val="Compact"/>
              <w:jc w:val="left"/>
            </w:pPr>
            <w:r>
              <w:t xml:space="preserve">77 Leningradsky Prospekt, Moscow, Russia 125212</w:t>
            </w:r>
          </w:p>
        </w:tc>
      </w:tr>
      <w:tr>
        <w:tc>
          <w:tcPr/>
          <w:p>
            <w:pPr>
              <w:pStyle w:val="Compact"/>
              <w:jc w:val="left"/>
            </w:pPr>
            <w:r>
              <w:rPr>
                <w:bCs/>
                <w:b/>
              </w:rPr>
              <w:t xml:space="preserve">Project Reference:</w:t>
            </w:r>
          </w:p>
        </w:tc>
        <w:tc>
          <w:tcPr/>
          <w:p>
            <w:pPr>
              <w:pStyle w:val="Compact"/>
              <w:jc w:val="left"/>
            </w:pPr>
            <w:r>
              <w:t xml:space="preserve">SIAC-CE-2025-MSC-003</w:t>
            </w:r>
          </w:p>
        </w:tc>
      </w:tr>
      <w:tr>
        <w:tc>
          <w:tcPr/>
          <w:p>
            <w:pPr>
              <w:pStyle w:val="Compact"/>
              <w:jc w:val="left"/>
            </w:pPr>
            <w:r>
              <w:rPr>
                <w:bCs/>
                <w:b/>
              </w:rPr>
              <w:t xml:space="preserve">Project Location:</w:t>
            </w:r>
          </w:p>
        </w:tc>
        <w:tc>
          <w:tcPr/>
          <w:p>
            <w:pPr>
              <w:pStyle w:val="Compact"/>
              <w:jc w:val="left"/>
            </w:pPr>
            <w:r>
              <w:t xml:space="preserve">Russia Moscow – Central Business District, Building 4, Floors 12–15</w:t>
            </w:r>
          </w:p>
        </w:tc>
      </w:tr>
    </w:tbl>
    <w:bookmarkEnd w:id="21"/>
    <w:bookmarkStart w:id="22" w:name="scope-of-work-computer-engineer-services"/>
    <w:p>
      <w:pPr>
        <w:pStyle w:val="Heading2"/>
      </w:pPr>
      <w:r>
        <w:t xml:space="preserve">2. Scope of Work – Computer Engineer Services</w:t>
      </w:r>
    </w:p>
    <w:p>
      <w:pPr>
        <w:pStyle w:val="FirstParagraph"/>
      </w:pPr>
      <w:r>
        <w:t xml:space="preserve">This Quotation Estimate is issued by TechBridge Engineering Solutions Ltd. to provide comprehensive</w:t>
      </w:r>
      <w:r>
        <w:t xml:space="preserve"> </w:t>
      </w:r>
      <w:r>
        <w:t xml:space="preserve">Computer Engineer</w:t>
      </w:r>
      <w:r>
        <w:t xml:space="preserve"> </w:t>
      </w:r>
      <w:r>
        <w:t xml:space="preserve">professional services for the client's infrastructure modernization project located in</w:t>
      </w:r>
      <w:r>
        <w:t xml:space="preserve"> </w:t>
      </w:r>
      <w:r>
        <w:t xml:space="preserve">Russia Moscow</w:t>
      </w:r>
      <w:r>
        <w:t xml:space="preserve">. The scope encompasses the full lifecycle of computer systems engineering, including design, implementation, testing, and ongoing technical support. The assigned</w:t>
      </w:r>
      <w:r>
        <w:t xml:space="preserve"> </w:t>
      </w:r>
      <w:r>
        <w:t xml:space="preserve">Computer Engineer</w:t>
      </w:r>
      <w:r>
        <w:t xml:space="preserve"> </w:t>
      </w:r>
      <w:r>
        <w:t xml:space="preserve">will operate under the direct supervision of the client's project management office and will adhere to all applicable Russian Federation technical standards (GOST) and international engineering best practices.</w:t>
      </w:r>
    </w:p>
    <w:p>
      <w:pPr>
        <w:pStyle w:val="BodyText"/>
      </w:pPr>
      <w:r>
        <w:t xml:space="preserve">The</w:t>
      </w:r>
      <w:r>
        <w:t xml:space="preserve"> </w:t>
      </w:r>
      <w:r>
        <w:t xml:space="preserve">Computer Engineer</w:t>
      </w:r>
      <w:r>
        <w:t xml:space="preserve"> </w:t>
      </w:r>
      <w:r>
        <w:t xml:space="preserve">engagement covers the following deliverables: system architecture design for a 200-node enterprise network, hardware procurement coordination, firmware and operating system deployment, cybersecurity hardening, performance benchmarking, and a minimum of 120 hours of on-site technical support within the</w:t>
      </w:r>
      <w:r>
        <w:t xml:space="preserve"> </w:t>
      </w:r>
      <w:r>
        <w:t xml:space="preserve">Russia Moscow</w:t>
      </w:r>
      <w:r>
        <w:t xml:space="preserve"> </w:t>
      </w:r>
      <w:r>
        <w:t xml:space="preserve">operational site. All work will be conducted in compliance with the Federal Law of the Russian Federation on Personal Data and Information Security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Computer Engineer – Senior (System Architecture &amp; Design Phase)</w:t>
            </w:r>
          </w:p>
        </w:tc>
        <w:tc>
          <w:tcPr/>
          <w:p>
            <w:pPr>
              <w:pStyle w:val="Compact"/>
              <w:jc w:val="left"/>
            </w:pPr>
            <w:r>
              <w:t xml:space="preserve">30 working days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Computer Engineer – Mid-Level (Implementation &amp; Deployment)</w:t>
            </w:r>
          </w:p>
        </w:tc>
        <w:tc>
          <w:tcPr/>
          <w:p>
            <w:pPr>
              <w:pStyle w:val="Compact"/>
              <w:jc w:val="left"/>
            </w:pPr>
            <w:r>
              <w:t xml:space="preserve">45 working days</w:t>
            </w:r>
          </w:p>
        </w:tc>
        <w:tc>
          <w:tcPr/>
          <w:p>
            <w:pPr>
              <w:pStyle w:val="Compact"/>
              <w:jc w:val="left"/>
            </w:pPr>
            <w:r>
              <w:t xml:space="preserve">14,200</w:t>
            </w:r>
          </w:p>
        </w:tc>
        <w:tc>
          <w:tcPr/>
          <w:p>
            <w:pPr>
              <w:pStyle w:val="Compact"/>
              <w:jc w:val="left"/>
            </w:pPr>
            <w:r>
              <w:t xml:space="preserve">639,000</w:t>
            </w:r>
          </w:p>
        </w:tc>
      </w:tr>
      <w:tr>
        <w:tc>
          <w:tcPr/>
          <w:p>
            <w:pPr>
              <w:pStyle w:val="Compact"/>
              <w:jc w:val="left"/>
            </w:pPr>
            <w:r>
              <w:t xml:space="preserve">03</w:t>
            </w:r>
          </w:p>
        </w:tc>
        <w:tc>
          <w:tcPr/>
          <w:p>
            <w:pPr>
              <w:pStyle w:val="Compact"/>
              <w:jc w:val="left"/>
            </w:pPr>
            <w:r>
              <w:t xml:space="preserve">Computer Engineer – Junior (Testing, QA &amp; Documentation)</w:t>
            </w:r>
          </w:p>
        </w:tc>
        <w:tc>
          <w:tcPr/>
          <w:p>
            <w:pPr>
              <w:pStyle w:val="Compact"/>
              <w:jc w:val="left"/>
            </w:pPr>
            <w:r>
              <w:t xml:space="preserve">30 working days</w:t>
            </w:r>
          </w:p>
        </w:tc>
        <w:tc>
          <w:tcPr/>
          <w:p>
            <w:pPr>
              <w:pStyle w:val="Compact"/>
              <w:jc w:val="left"/>
            </w:pPr>
            <w:r>
              <w:t xml:space="preserve">9,800</w:t>
            </w:r>
          </w:p>
        </w:tc>
        <w:tc>
          <w:tcPr/>
          <w:p>
            <w:pPr>
              <w:pStyle w:val="Compact"/>
              <w:jc w:val="left"/>
            </w:pPr>
            <w:r>
              <w:t xml:space="preserve">294,000</w:t>
            </w:r>
          </w:p>
        </w:tc>
      </w:tr>
      <w:tr>
        <w:tc>
          <w:tcPr/>
          <w:p>
            <w:pPr>
              <w:pStyle w:val="Compact"/>
              <w:jc w:val="left"/>
            </w:pPr>
            <w:r>
              <w:t xml:space="preserve">04</w:t>
            </w:r>
          </w:p>
        </w:tc>
        <w:tc>
          <w:tcPr/>
          <w:p>
            <w:pPr>
              <w:pStyle w:val="Compact"/>
              <w:jc w:val="left"/>
            </w:pPr>
            <w:r>
              <w:t xml:space="preserve">On-site Technical Support – Russia Moscow (120 hours)</w:t>
            </w:r>
          </w:p>
        </w:tc>
        <w:tc>
          <w:tcPr/>
          <w:p>
            <w:pPr>
              <w:pStyle w:val="Compact"/>
              <w:jc w:val="left"/>
            </w:pPr>
            <w:r>
              <w:t xml:space="preserve">120 hours</w:t>
            </w:r>
          </w:p>
        </w:tc>
        <w:tc>
          <w:tcPr/>
          <w:p>
            <w:pPr>
              <w:pStyle w:val="Compact"/>
              <w:jc w:val="left"/>
            </w:pPr>
            <w:r>
              <w:t xml:space="preserve">2,400</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Travel &amp; Accommodation within Russia Moscow (30 days)</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Specialized Diagnostic Software Licenses (annual)</w:t>
            </w:r>
          </w:p>
        </w:tc>
        <w:tc>
          <w:tcPr/>
          <w:p>
            <w:pPr>
              <w:pStyle w:val="Compact"/>
              <w:jc w:val="left"/>
            </w:pPr>
            <w:r>
              <w:t xml:space="preserve">1 license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Project Management &amp; Coordination Overhead</w:t>
            </w:r>
          </w:p>
        </w:tc>
        <w:tc>
          <w:tcPr/>
          <w:p>
            <w:pPr>
              <w:pStyle w:val="Compact"/>
              <w:jc w:val="left"/>
            </w:pPr>
            <w:r>
              <w:t xml:space="preserve">Full project cycle</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Compliance Audit &amp; GOST Certification Filing</w:t>
            </w:r>
          </w:p>
        </w:tc>
        <w:tc>
          <w:tcPr/>
          <w:p>
            <w:pPr>
              <w:pStyle w:val="Compact"/>
              <w:jc w:val="left"/>
            </w:pPr>
            <w:r>
              <w:t xml:space="preserve">1 engagement</w:t>
            </w:r>
          </w:p>
        </w:tc>
        <w:tc>
          <w:tcPr/>
          <w:p>
            <w:pPr>
              <w:pStyle w:val="Compact"/>
              <w:jc w:val="left"/>
            </w:pPr>
            <w:r>
              <w:t xml:space="preserve">—</w:t>
            </w:r>
          </w:p>
        </w:tc>
        <w:tc>
          <w:tcPr/>
          <w:p>
            <w:pPr>
              <w:pStyle w:val="Compact"/>
              <w:jc w:val="left"/>
            </w:pPr>
            <w:r>
              <w:t xml:space="preserve">95,000</w:t>
            </w:r>
          </w:p>
        </w:tc>
      </w:tr>
      <w:tr>
        <w:tc>
          <w:tcPr>
            <w:gridSpan w:val="4"/>
          </w:tcPr>
          <w:p>
            <w:pPr>
              <w:pStyle w:val="Compact"/>
              <w:jc w:val="left"/>
            </w:pPr>
            <w:r>
              <w:rPr>
                <w:bCs/>
                <w:b/>
              </w:rPr>
              <w:t xml:space="preserve">Subtotal (RUB)</w:t>
            </w:r>
          </w:p>
        </w:tc>
        <w:tc>
          <w:tcPr/>
          <w:p>
            <w:pPr>
              <w:pStyle w:val="Compact"/>
              <w:jc w:val="left"/>
            </w:pPr>
            <w:r>
              <w:rPr>
                <w:bCs/>
                <w:b/>
              </w:rPr>
              <w:t xml:space="preserve">2,506,000</w:t>
            </w:r>
          </w:p>
        </w:tc>
      </w:tr>
      <w:tr>
        <w:tc>
          <w:tcPr>
            <w:gridSpan w:val="4"/>
          </w:tcPr>
          <w:p>
            <w:pPr>
              <w:pStyle w:val="Compact"/>
              <w:jc w:val="left"/>
            </w:pPr>
            <w:r>
              <w:rPr>
                <w:bCs/>
                <w:b/>
              </w:rPr>
              <w:t xml:space="preserve">VAT (20%) – Russia Moscow Tax Jurisdiction</w:t>
            </w:r>
          </w:p>
        </w:tc>
        <w:tc>
          <w:tcPr/>
          <w:p>
            <w:pPr>
              <w:pStyle w:val="Compact"/>
              <w:jc w:val="left"/>
            </w:pPr>
            <w:r>
              <w:rPr>
                <w:bCs/>
                <w:b/>
              </w:rPr>
              <w:t xml:space="preserve">501,200</w:t>
            </w:r>
          </w:p>
        </w:tc>
      </w:tr>
      <w:tr>
        <w:tc>
          <w:tcPr>
            <w:gridSpan w:val="4"/>
          </w:tcPr>
          <w:p>
            <w:pPr>
              <w:pStyle w:val="Compact"/>
              <w:jc w:val="left"/>
            </w:pPr>
            <w:r>
              <w:rPr>
                <w:bCs/>
                <w:b/>
              </w:rPr>
              <w:t xml:space="preserve">TOTAL QUOTATION ESTIMATE AMOUNT (RUB)</w:t>
            </w:r>
          </w:p>
        </w:tc>
        <w:tc>
          <w:tcPr/>
          <w:p>
            <w:pPr>
              <w:pStyle w:val="Compact"/>
              <w:jc w:val="left"/>
            </w:pPr>
            <w:r>
              <w:rPr>
                <w:bCs/>
                <w:b/>
              </w:rPr>
              <w:t xml:space="preserve">3,007,200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payable via bank transfer to the account of TechBridge Engineering Solutions Ltd. registered in Russia Moscow:</w:t>
      </w:r>
    </w:p>
    <w:p>
      <w:pPr>
        <w:numPr>
          <w:ilvl w:val="0"/>
          <w:numId w:val="1001"/>
        </w:numPr>
        <w:pStyle w:val="Compact"/>
      </w:pPr>
      <w:r>
        <w:rPr>
          <w:bCs/>
          <w:b/>
        </w:rPr>
        <w:t xml:space="preserve">30% Advance Payment</w:t>
      </w:r>
      <w:r>
        <w:t xml:space="preserve"> </w:t>
      </w:r>
      <w:r>
        <w:t xml:space="preserve">(RUB 902,160) – due within 10 business days of mutual acceptance of this Quotation Estimate.</w:t>
      </w:r>
    </w:p>
    <w:p>
      <w:pPr>
        <w:numPr>
          <w:ilvl w:val="0"/>
          <w:numId w:val="1001"/>
        </w:numPr>
        <w:pStyle w:val="Compact"/>
      </w:pPr>
      <w:r>
        <w:rPr>
          <w:bCs/>
          <w:b/>
        </w:rPr>
        <w:t xml:space="preserve">40% Milestone Payment</w:t>
      </w:r>
      <w:r>
        <w:t xml:space="preserve"> </w:t>
      </w:r>
      <w:r>
        <w:t xml:space="preserve">(RUB 1,202,880) – due upon completion of the Implementation &amp; Deployment phase, subject to client sign-off.</w:t>
      </w:r>
    </w:p>
    <w:p>
      <w:pPr>
        <w:numPr>
          <w:ilvl w:val="0"/>
          <w:numId w:val="1001"/>
        </w:numPr>
        <w:pStyle w:val="Compact"/>
      </w:pPr>
      <w:r>
        <w:rPr>
          <w:bCs/>
          <w:b/>
        </w:rPr>
        <w:t xml:space="preserve">30% Final Payment</w:t>
      </w:r>
      <w:r>
        <w:t xml:space="preserve"> </w:t>
      </w:r>
      <w:r>
        <w:t xml:space="preserve">(RUB 902,160) – due within 15 business days of project closure and delivery of all documentation.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calendar days from the date of issue. Any request for services beyond this validity period will require a revised Quotation Estimate.</w:t>
      </w:r>
    </w:p>
    <w:p>
      <w:pPr>
        <w:numPr>
          <w:ilvl w:val="0"/>
          <w:numId w:val="1002"/>
        </w:numPr>
        <w:pStyle w:val="Compact"/>
      </w:pPr>
      <w:r>
        <w:t xml:space="preserve">The</w:t>
      </w:r>
      <w:r>
        <w:t xml:space="preserve"> </w:t>
      </w:r>
      <w:r>
        <w:t xml:space="preserve">Computer Engineer</w:t>
      </w:r>
      <w:r>
        <w:t xml:space="preserve"> </w:t>
      </w:r>
      <w:r>
        <w:t xml:space="preserve">personnel assigned to this project will hold valid work permits and professional certifications recognized by the Ministry of Digital Development of the Russian Federation.</w:t>
      </w:r>
    </w:p>
    <w:p>
      <w:pPr>
        <w:numPr>
          <w:ilvl w:val="0"/>
          <w:numId w:val="1002"/>
        </w:numPr>
        <w:pStyle w:val="Compact"/>
      </w:pPr>
      <w:r>
        <w:t xml:space="preserve">All intellectual property generated during the course of this engagement in</w:t>
      </w:r>
      <w:r>
        <w:t xml:space="preserve"> </w:t>
      </w:r>
      <w:r>
        <w:t xml:space="preserve">Russia Moscow</w:t>
      </w:r>
      <w:r>
        <w:t xml:space="preserve"> </w:t>
      </w:r>
      <w:r>
        <w:t xml:space="preserve">shall remain the exclusive property of the client, as defined in the master service agreement.</w:t>
      </w:r>
    </w:p>
    <w:p>
      <w:pPr>
        <w:numPr>
          <w:ilvl w:val="0"/>
          <w:numId w:val="1002"/>
        </w:numPr>
        <w:pStyle w:val="Compact"/>
      </w:pPr>
      <w:r>
        <w:t xml:space="preserve">Any changes to the scope of work must be documented in a formal Change Order, which will be appended to this Quotation Estimate and signed by both parties.</w:t>
      </w:r>
    </w:p>
    <w:p>
      <w:pPr>
        <w:numPr>
          <w:ilvl w:val="0"/>
          <w:numId w:val="1002"/>
        </w:numPr>
        <w:pStyle w:val="Compact"/>
      </w:pPr>
      <w:r>
        <w:t xml:space="preserve">Force majeure events, including but not limited to natural disasters, government sanctions, or civil unrest affecting the</w:t>
      </w:r>
      <w:r>
        <w:t xml:space="preserve"> </w:t>
      </w:r>
      <w:r>
        <w:t xml:space="preserve">Russia Moscow</w:t>
      </w:r>
      <w:r>
        <w:t xml:space="preserve"> </w:t>
      </w:r>
      <w:r>
        <w:t xml:space="preserve">region, shall relieve both parties from performance obligations for the duration of the event.</w:t>
      </w:r>
    </w:p>
    <w:p>
      <w:pPr>
        <w:numPr>
          <w:ilvl w:val="0"/>
          <w:numId w:val="1002"/>
        </w:numPr>
        <w:pStyle w:val="Compact"/>
      </w:pPr>
      <w:r>
        <w:t xml:space="preserve">Disputes arising from this Quotation Estimate shall be resolved through arbitration in Moscow in accordance with the rules of the International Commercial Arbitration Court at the Chamber of Commerce and Industry of the Russian Federation.</w:t>
      </w:r>
    </w:p>
    <w:p>
      <w:pPr>
        <w:numPr>
          <w:ilvl w:val="0"/>
          <w:numId w:val="1002"/>
        </w:numPr>
        <w:pStyle w:val="Compact"/>
      </w:pPr>
      <w:r>
        <w:t xml:space="preserve">The</w:t>
      </w:r>
      <w:r>
        <w:t xml:space="preserve"> </w:t>
      </w:r>
      <w:r>
        <w:t xml:space="preserve">Computer Engineer</w:t>
      </w:r>
      <w:r>
        <w:t xml:space="preserve"> </w:t>
      </w:r>
      <w:r>
        <w:t xml:space="preserve">team shall maintain full confidentiality of all client data, network topologies, and proprietary systems in strict accordance with Federal Law No. 152-FZ on Personal Data.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agreed-upon scope, pricing, and terms for the</w:t>
      </w:r>
      <w:r>
        <w:t xml:space="preserve"> </w:t>
      </w:r>
      <w:r>
        <w:t xml:space="preserve">Computer Engineer</w:t>
      </w:r>
      <w:r>
        <w:t xml:space="preserve"> </w:t>
      </w:r>
      <w:r>
        <w:t xml:space="preserve">services to be delivered in</w:t>
      </w:r>
      <w:r>
        <w:t xml:space="preserve"> </w:t>
      </w:r>
      <w:r>
        <w:t xml:space="preserve">Russia Moscow</w:t>
      </w:r>
      <w:r>
        <w:t xml:space="preserve">. This document, once countersigned, constitutes a binding commercial agreement between the parties.</w:t>
      </w:r>
    </w:p>
    <w:p>
      <w:pPr>
        <w:pStyle w:val="BodyText"/>
      </w:pPr>
      <w:r>
        <w:rPr>
          <w:bCs/>
          <w:b/>
        </w:rPr>
        <w:t xml:space="preserve">For TechBridge Engineering Solutions Ltd.</w:t>
      </w:r>
    </w:p>
    <w:p>
      <w:pPr>
        <w:pStyle w:val="BodyText"/>
      </w:pPr>
      <w:r>
        <w:t xml:space="preserve">Authorized Signatory</w:t>
      </w:r>
      <w:r>
        <w:br/>
      </w:r>
      <w:r>
        <w:t xml:space="preserve">Name: Alexei V. Petrov</w:t>
      </w:r>
      <w:r>
        <w:br/>
      </w:r>
      <w:r>
        <w:t xml:space="preserve">Title: Chief Technical Officer</w:t>
      </w:r>
      <w:r>
        <w:br/>
      </w:r>
      <w:r>
        <w:t xml:space="preserve">Date: _______________</w:t>
      </w:r>
    </w:p>
    <w:p>
      <w:pPr>
        <w:pStyle w:val="BodyText"/>
      </w:pPr>
      <w:r>
        <w:rPr>
          <w:bCs/>
          <w:b/>
        </w:rPr>
        <w:t xml:space="preserve">For State Industrial Automation Corporation (SIAC)</w:t>
      </w:r>
    </w:p>
    <w:p>
      <w:pPr>
        <w:pStyle w:val="BodyText"/>
      </w:pPr>
      <w:r>
        <w:t xml:space="preserve">Authorized Signatory</w:t>
      </w:r>
      <w:r>
        <w:br/>
      </w:r>
      <w:r>
        <w:t xml:space="preserve">Name: _______________________</w:t>
      </w:r>
      <w:r>
        <w:br/>
      </w:r>
      <w:r>
        <w:t xml:space="preserve">Title: _______________________</w:t>
      </w:r>
      <w:r>
        <w:br/>
      </w:r>
      <w:r>
        <w:t xml:space="preserve">Date: _______________</w:t>
      </w:r>
    </w:p>
    <w:p>
      <w:pPr>
        <w:pStyle w:val="BodyText"/>
      </w:pPr>
      <w:r>
        <w:t xml:space="preserve">This Quotation Estimate (Ref: QE-RM-2025-04782) is the property of TechBridge Engineering Solutions Ltd. and is intended solely for the named client. Unauthorized reproduction or distribution of this document is strictly prohibited. All services referenced herein are to be performed in Russia Moscow under the jurisdiction of Russian Federation law. Document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Russia Moscow</dc:title>
  <dc:creator/>
  <dc:language>en</dc:language>
  <cp:keywords/>
  <dcterms:created xsi:type="dcterms:W3CDTF">2026-10-10T03:57:25Z</dcterms:created>
  <dcterms:modified xsi:type="dcterms:W3CDTF">2026-10-10T03:57:25Z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