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midwest-technical-solutions-llc"/>
    <w:p>
      <w:pPr>
        <w:pStyle w:val="Heading1"/>
      </w:pPr>
      <w:r>
        <w:t xml:space="preserve">Midwest Technical Solutions LLC</w:t>
      </w:r>
    </w:p>
    <w:p>
      <w:pPr>
        <w:pStyle w:val="FirstParagraph"/>
      </w:pPr>
      <w:r>
        <w:t xml:space="preserve">1200 N. Michigan Avenue, Suite 2400</w:t>
      </w:r>
    </w:p>
    <w:p>
      <w:pPr>
        <w:pStyle w:val="BodyText"/>
      </w:pPr>
      <w:r>
        <w:t xml:space="preserve">Chicago, IL 60601, United States</w:t>
      </w:r>
    </w:p>
    <w:p>
      <w:pPr>
        <w:pStyle w:val="BodyText"/>
      </w:pPr>
      <w:r>
        <w:t xml:space="preserve">Phone: (312) 555-0187 | Email: quotes@midwesttechsolutions.com</w:t>
      </w:r>
    </w:p>
    <w:p>
      <w:pPr>
        <w:pStyle w:val="BodyText"/>
      </w:pPr>
      <w:r>
        <w:t xml:space="preserve">EIN: 36-XXXXXXX</w:t>
      </w:r>
    </w:p>
    <w:bookmarkEnd w:id="20"/>
    <w:bookmarkStart w:id="21" w:name="quotation-estimate"/>
    <w:p>
      <w:pPr>
        <w:pStyle w:val="Heading2"/>
      </w:pPr>
      <w:r>
        <w:t xml:space="preserve">QUOTATION ESTIMATE</w:t>
      </w:r>
    </w:p>
    <w:p>
      <w:pPr>
        <w:pStyle w:val="FirstParagraph"/>
      </w:pPr>
      <w:r>
        <w:t xml:space="preserve">Document No: QTE-2025-04872</w:t>
      </w:r>
    </w:p>
    <w:p>
      <w:pPr>
        <w:pStyle w:val="BodyText"/>
      </w:pPr>
      <w:r>
        <w:t xml:space="preserve">Date Issued: June 12, 2025</w:t>
      </w:r>
    </w:p>
    <w:p>
      <w:pPr>
        <w:pStyle w:val="BodyText"/>
      </w:pPr>
      <w:r>
        <w:t xml:space="preserve">Valid Until: July 12, 2025</w:t>
      </w:r>
    </w:p>
    <w:bookmarkEnd w:id="21"/>
    <w:bookmarkStart w:id="22" w:name="client-project-information"/>
    <w:p>
      <w:pPr>
        <w:pStyle w:val="Heading3"/>
      </w:pPr>
      <w:r>
        <w:t xml:space="preserve">Client &amp; Project Information</w:t>
      </w:r>
    </w:p>
    <w:p>
      <w:pPr>
        <w:pStyle w:val="FirstParagraph"/>
      </w:pPr>
      <w:r>
        <w:t xml:space="preserve">Prepared For</w:t>
      </w:r>
      <w:r>
        <w:t xml:space="preserve"> </w:t>
      </w:r>
      <w:r>
        <w:t xml:space="preserve">Lakefront Industrial Group, Inc.</w:t>
      </w:r>
    </w:p>
    <w:p>
      <w:pPr>
        <w:pStyle w:val="BodyText"/>
      </w:pPr>
      <w:r>
        <w:t xml:space="preserve">Client Address</w:t>
      </w:r>
      <w:r>
        <w:t xml:space="preserve"> </w:t>
      </w:r>
      <w:r>
        <w:t xml:space="preserve">875 W. Fulton Market, Chicago, IL 60607</w:t>
      </w:r>
    </w:p>
    <w:p>
      <w:pPr>
        <w:pStyle w:val="BodyText"/>
      </w:pPr>
      <w:r>
        <w:t xml:space="preserve">Project Title</w:t>
      </w:r>
      <w:r>
        <w:t xml:space="preserve"> </w:t>
      </w:r>
      <w:r>
        <w:t xml:space="preserve">Enterprise Network Infrastructure &amp; Systems Integration</w:t>
      </w:r>
    </w:p>
    <w:p>
      <w:pPr>
        <w:pStyle w:val="BodyText"/>
      </w:pPr>
      <w:r>
        <w:t xml:space="preserve">Project Location</w:t>
      </w:r>
      <w:r>
        <w:t xml:space="preserve"> </w:t>
      </w:r>
      <w:r>
        <w:t xml:space="preserve">Chicago, Illinois, United States</w:t>
      </w:r>
    </w:p>
    <w:p>
      <w:pPr>
        <w:pStyle w:val="BodyText"/>
      </w:pPr>
      <w:r>
        <w:t xml:space="preserve">Primary Contact</w:t>
      </w:r>
      <w:r>
        <w:t xml:space="preserve"> </w:t>
      </w:r>
      <w:r>
        <w:t xml:space="preserve">Mr. David R. Thornton, VP of Operations</w:t>
      </w:r>
    </w:p>
    <w:p>
      <w:pPr>
        <w:pStyle w:val="BodyText"/>
      </w:pPr>
      <w:r>
        <w:t xml:space="preserve">Estimated Duration</w:t>
      </w:r>
      <w:r>
        <w:t xml:space="preserve"> </w:t>
      </w:r>
      <w:r>
        <w:t xml:space="preserve">14 Weeks (August 4, 2025 – November 7, 2025)</w:t>
      </w:r>
    </w:p>
    <w:bookmarkEnd w:id="22"/>
    <w:bookmarkStart w:id="23" w:name="scope-of-work-computer-engineer-services"/>
    <w:p>
      <w:pPr>
        <w:pStyle w:val="Heading3"/>
      </w:pPr>
      <w:r>
        <w:t xml:space="preserve">Scope of Work – Computer Engineer Services</w:t>
      </w:r>
    </w:p>
    <w:p>
      <w:pPr>
        <w:pStyle w:val="FirstParagraph"/>
      </w:pPr>
      <w:r>
        <w:t xml:space="preserve">This</w:t>
      </w:r>
      <w:r>
        <w:t xml:space="preserve"> </w:t>
      </w:r>
      <w:r>
        <w:t xml:space="preserve">Quotation Estimate</w:t>
      </w:r>
      <w:r>
        <w:t xml:space="preserve"> </w:t>
      </w:r>
      <w:r>
        <w:t xml:space="preserve">is issued by Midwest Technical Solutions LLC to provide comprehensive</w:t>
      </w:r>
      <w:r>
        <w:t xml:space="preserve"> </w:t>
      </w:r>
      <w:r>
        <w:t xml:space="preserve">Computer Engineer</w:t>
      </w:r>
      <w:r>
        <w:t xml:space="preserve"> </w:t>
      </w:r>
      <w:r>
        <w:t xml:space="preserve">professional services for the design, implementation, and ongoing support of enterprise-grade IT infrastructure at the client's primary facility located in</w:t>
      </w:r>
      <w:r>
        <w:t xml:space="preserve"> </w:t>
      </w:r>
      <w:r>
        <w:t xml:space="preserve">United States Chicago</w:t>
      </w:r>
      <w:r>
        <w:t xml:space="preserve">. The scope encompasses the following deliverables:</w:t>
      </w:r>
    </w:p>
    <w:p>
      <w:pPr>
        <w:numPr>
          <w:ilvl w:val="0"/>
          <w:numId w:val="1001"/>
        </w:numPr>
        <w:pStyle w:val="Compact"/>
      </w:pPr>
      <w:r>
        <w:rPr>
          <w:bCs/>
          <w:b/>
        </w:rPr>
        <w:t xml:space="preserve">Network Architecture Design:</w:t>
      </w:r>
      <w:r>
        <w:t xml:space="preserve"> </w:t>
      </w:r>
      <w:r>
        <w:t xml:space="preserve">A senior Computer Engineer will develop a complete network topology plan, including redundant fiber-optic backbone, VLAN segmentation, and load-balanced routing for the 120,000 sq. ft. Chicago facility.</w:t>
      </w:r>
    </w:p>
    <w:p>
      <w:pPr>
        <w:numPr>
          <w:ilvl w:val="0"/>
          <w:numId w:val="1001"/>
        </w:numPr>
        <w:pStyle w:val="Compact"/>
      </w:pPr>
      <w:r>
        <w:rPr>
          <w:bCs/>
          <w:b/>
        </w:rPr>
        <w:t xml:space="preserve">Server Room Build-Out:</w:t>
      </w:r>
      <w:r>
        <w:t xml:space="preserve"> </w:t>
      </w:r>
      <w:r>
        <w:t xml:space="preserve">Full design and physical installation of a Tier III data center room, including rack systems, UPS power arrays, precision cooling units, and structured cabling (Cat 6A and single-mode fiber).</w:t>
      </w:r>
    </w:p>
    <w:p>
      <w:pPr>
        <w:numPr>
          <w:ilvl w:val="0"/>
          <w:numId w:val="1001"/>
        </w:numPr>
        <w:pStyle w:val="Compact"/>
      </w:pPr>
      <w:r>
        <w:rPr>
          <w:bCs/>
          <w:b/>
        </w:rPr>
        <w:t xml:space="preserve">Security Infrastructure:</w:t>
      </w:r>
      <w:r>
        <w:t xml:space="preserve"> </w:t>
      </w:r>
      <w:r>
        <w:t xml:space="preserve">Implementation of next-generation firewalls, intrusion detection/prevention systems, endpoint security management, and biometric access control integrated with the building management system in Chicago.</w:t>
      </w:r>
    </w:p>
    <w:p>
      <w:pPr>
        <w:numPr>
          <w:ilvl w:val="0"/>
          <w:numId w:val="1001"/>
        </w:numPr>
        <w:pStyle w:val="Compact"/>
      </w:pPr>
      <w:r>
        <w:rPr>
          <w:bCs/>
          <w:b/>
        </w:rPr>
        <w:t xml:space="preserve">Cloud Hybrid Integration:</w:t>
      </w:r>
      <w:r>
        <w:t xml:space="preserve"> </w:t>
      </w:r>
      <w:r>
        <w:t xml:space="preserve">Configuration of a hybrid cloud environment connecting on-premises servers to AWS and Azure regions, with automated failover and data replication protocols.</w:t>
      </w:r>
    </w:p>
    <w:p>
      <w:pPr>
        <w:numPr>
          <w:ilvl w:val="0"/>
          <w:numId w:val="1001"/>
        </w:numPr>
        <w:pStyle w:val="Compact"/>
      </w:pPr>
      <w:r>
        <w:rPr>
          <w:bCs/>
          <w:b/>
        </w:rPr>
        <w:t xml:space="preserve">Staff Training &amp; Documentation:</w:t>
      </w:r>
      <w:r>
        <w:t xml:space="preserve"> </w:t>
      </w:r>
      <w:r>
        <w:t xml:space="preserve">Two on-site training sessions for the client's internal IT team, plus a complete 200+ page technical operations manual and as-built drawings.</w:t>
      </w:r>
    </w:p>
    <w:p>
      <w:pPr>
        <w:numPr>
          <w:ilvl w:val="0"/>
          <w:numId w:val="1001"/>
        </w:numPr>
        <w:pStyle w:val="Compact"/>
      </w:pPr>
      <w:r>
        <w:rPr>
          <w:bCs/>
          <w:b/>
        </w:rPr>
        <w:t xml:space="preserve">Post-Deployment Support:</w:t>
      </w:r>
      <w:r>
        <w:t xml:space="preserve"> </w:t>
      </w:r>
      <w:r>
        <w:t xml:space="preserve">90 days of on-call Computer Engineer support with a guaranteed 4-hour response time for critical incidents at the Chicago site.</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Computer Engineer – Network Architecture &amp; Design</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Weeks 1–3</w:t>
            </w:r>
          </w:p>
        </w:tc>
      </w:tr>
      <w:tr>
        <w:tc>
          <w:tcPr/>
          <w:p>
            <w:pPr>
              <w:pStyle w:val="Compact"/>
              <w:jc w:val="left"/>
            </w:pPr>
            <w:r>
              <w:t xml:space="preserve">2</w:t>
            </w:r>
          </w:p>
        </w:tc>
        <w:tc>
          <w:tcPr/>
          <w:p>
            <w:pPr>
              <w:pStyle w:val="Compact"/>
              <w:jc w:val="left"/>
            </w:pPr>
            <w:r>
              <w:t xml:space="preserve">Computer Engineer – Server Room Build-Out &amp; Cabling</w:t>
            </w:r>
          </w:p>
        </w:tc>
        <w:tc>
          <w:tcPr/>
          <w:p>
            <w:pPr>
              <w:pStyle w:val="Compact"/>
              <w:jc w:val="left"/>
            </w:pPr>
            <w:r>
              <w:t xml:space="preserve">320 hrs</w:t>
            </w:r>
          </w:p>
        </w:tc>
        <w:tc>
          <w:tcPr/>
          <w:p>
            <w:pPr>
              <w:pStyle w:val="Compact"/>
              <w:jc w:val="left"/>
            </w:pPr>
            <w:r>
              <w:t xml:space="preserve">$145.00</w:t>
            </w:r>
          </w:p>
        </w:tc>
        <w:tc>
          <w:tcPr/>
          <w:p>
            <w:pPr>
              <w:pStyle w:val="Compact"/>
              <w:jc w:val="left"/>
            </w:pPr>
            <w:r>
              <w:t xml:space="preserve">$46,400.00</w:t>
            </w:r>
          </w:p>
        </w:tc>
        <w:tc>
          <w:tcPr/>
          <w:p>
            <w:pPr>
              <w:pStyle w:val="Compact"/>
              <w:jc w:val="left"/>
            </w:pPr>
            <w:r>
              <w:t xml:space="preserve">Weeks 3–7</w:t>
            </w:r>
          </w:p>
        </w:tc>
      </w:tr>
      <w:tr>
        <w:tc>
          <w:tcPr/>
          <w:p>
            <w:pPr>
              <w:pStyle w:val="Compact"/>
              <w:jc w:val="left"/>
            </w:pPr>
            <w:r>
              <w:t xml:space="preserve">3</w:t>
            </w:r>
          </w:p>
        </w:tc>
        <w:tc>
          <w:tcPr/>
          <w:p>
            <w:pPr>
              <w:pStyle w:val="Compact"/>
              <w:jc w:val="left"/>
            </w:pPr>
            <w:r>
              <w:t xml:space="preserve">Security Systems Engineer – Firewall &amp; IDS/IPS Deployment</w:t>
            </w:r>
          </w:p>
        </w:tc>
        <w:tc>
          <w:tcPr/>
          <w:p>
            <w:pPr>
              <w:pStyle w:val="Compact"/>
              <w:jc w:val="left"/>
            </w:pPr>
            <w:r>
              <w:t xml:space="preserve">160 hrs</w:t>
            </w:r>
          </w:p>
        </w:tc>
        <w:tc>
          <w:tcPr/>
          <w:p>
            <w:pPr>
              <w:pStyle w:val="Compact"/>
              <w:jc w:val="left"/>
            </w:pPr>
            <w:r>
              <w:t xml:space="preserve">$165.00</w:t>
            </w:r>
          </w:p>
        </w:tc>
        <w:tc>
          <w:tcPr/>
          <w:p>
            <w:pPr>
              <w:pStyle w:val="Compact"/>
              <w:jc w:val="left"/>
            </w:pPr>
            <w:r>
              <w:t xml:space="preserve">$26,400.00</w:t>
            </w:r>
          </w:p>
        </w:tc>
        <w:tc>
          <w:tcPr/>
          <w:p>
            <w:pPr>
              <w:pStyle w:val="Compact"/>
              <w:jc w:val="left"/>
            </w:pPr>
            <w:r>
              <w:t xml:space="preserve">Weeks 6–9</w:t>
            </w:r>
          </w:p>
        </w:tc>
      </w:tr>
      <w:tr>
        <w:tc>
          <w:tcPr/>
          <w:p>
            <w:pPr>
              <w:pStyle w:val="Compact"/>
              <w:jc w:val="left"/>
            </w:pPr>
            <w:r>
              <w:t xml:space="preserve">4</w:t>
            </w:r>
          </w:p>
        </w:tc>
        <w:tc>
          <w:tcPr/>
          <w:p>
            <w:pPr>
              <w:pStyle w:val="Compact"/>
              <w:jc w:val="left"/>
            </w:pPr>
            <w:r>
              <w:t xml:space="preserve">Cloud Integration Specialist – Hybrid Environment Setup</w:t>
            </w:r>
          </w:p>
        </w:tc>
        <w:tc>
          <w:tcPr/>
          <w:p>
            <w:pPr>
              <w:pStyle w:val="Compact"/>
              <w:jc w:val="left"/>
            </w:pPr>
            <w:r>
              <w:t xml:space="preserve">100 hrs</w:t>
            </w:r>
          </w:p>
        </w:tc>
        <w:tc>
          <w:tcPr/>
          <w:p>
            <w:pPr>
              <w:pStyle w:val="Compact"/>
              <w:jc w:val="left"/>
            </w:pPr>
            <w:r>
              <w:t xml:space="preserve">$175.00</w:t>
            </w:r>
          </w:p>
        </w:tc>
        <w:tc>
          <w:tcPr/>
          <w:p>
            <w:pPr>
              <w:pStyle w:val="Compact"/>
              <w:jc w:val="left"/>
            </w:pPr>
            <w:r>
              <w:t xml:space="preserve">$17,500.00</w:t>
            </w:r>
          </w:p>
        </w:tc>
        <w:tc>
          <w:tcPr/>
          <w:p>
            <w:pPr>
              <w:pStyle w:val="Compact"/>
              <w:jc w:val="left"/>
            </w:pPr>
            <w:r>
              <w:t xml:space="preserve">Weeks 9–11</w:t>
            </w:r>
          </w:p>
        </w:tc>
      </w:tr>
      <w:tr>
        <w:tc>
          <w:tcPr/>
          <w:p>
            <w:pPr>
              <w:pStyle w:val="Compact"/>
              <w:jc w:val="left"/>
            </w:pPr>
            <w:r>
              <w:t xml:space="preserve">5</w:t>
            </w:r>
          </w:p>
        </w:tc>
        <w:tc>
          <w:tcPr/>
          <w:p>
            <w:pPr>
              <w:pStyle w:val="Compact"/>
              <w:jc w:val="left"/>
            </w:pPr>
            <w:r>
              <w:t xml:space="preserve">Project Management &amp; Quality Assurance Oversight</w:t>
            </w:r>
          </w:p>
        </w:tc>
        <w:tc>
          <w:tcPr/>
          <w:p>
            <w:pPr>
              <w:pStyle w:val="Compact"/>
              <w:jc w:val="left"/>
            </w:pPr>
            <w:r>
              <w:t xml:space="preserve">14 wks</w:t>
            </w:r>
          </w:p>
        </w:tc>
        <w:tc>
          <w:tcPr/>
          <w:p>
            <w:pPr>
              <w:pStyle w:val="Compact"/>
              <w:jc w:val="left"/>
            </w:pPr>
            <w:r>
              <w:t xml:space="preserve">$3,200.00</w:t>
            </w:r>
          </w:p>
        </w:tc>
        <w:tc>
          <w:tcPr/>
          <w:p>
            <w:pPr>
              <w:pStyle w:val="Compact"/>
              <w:jc w:val="left"/>
            </w:pPr>
            <w:r>
              <w:t xml:space="preserve">$44,800.00</w:t>
            </w:r>
          </w:p>
        </w:tc>
        <w:tc>
          <w:tcPr/>
          <w:p>
            <w:pPr>
              <w:pStyle w:val="Compact"/>
              <w:jc w:val="left"/>
            </w:pPr>
            <w:r>
              <w:t xml:space="preserve">Full Term</w:t>
            </w:r>
          </w:p>
        </w:tc>
      </w:tr>
      <w:tr>
        <w:tc>
          <w:tcPr/>
          <w:p>
            <w:pPr>
              <w:pStyle w:val="Compact"/>
              <w:jc w:val="left"/>
            </w:pPr>
            <w:r>
              <w:t xml:space="preserve">6</w:t>
            </w:r>
          </w:p>
        </w:tc>
        <w:tc>
          <w:tcPr/>
          <w:p>
            <w:pPr>
              <w:pStyle w:val="Compact"/>
              <w:jc w:val="left"/>
            </w:pPr>
            <w:r>
              <w:t xml:space="preserve">On-Site Training Sessions (2 days, up to 15 attendees)</w:t>
            </w:r>
          </w:p>
        </w:tc>
        <w:tc>
          <w:tcPr/>
          <w:p>
            <w:pPr>
              <w:pStyle w:val="Compact"/>
              <w:jc w:val="left"/>
            </w:pPr>
            <w:r>
              <w:t xml:space="preserve">2 days</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Week 13</w:t>
            </w:r>
          </w:p>
        </w:tc>
      </w:tr>
      <w:tr>
        <w:tc>
          <w:tcPr/>
          <w:p>
            <w:pPr>
              <w:pStyle w:val="Compact"/>
              <w:jc w:val="left"/>
            </w:pPr>
            <w:r>
              <w:t xml:space="preserve">7</w:t>
            </w:r>
          </w:p>
        </w:tc>
        <w:tc>
          <w:tcPr/>
          <w:p>
            <w:pPr>
              <w:pStyle w:val="Compact"/>
              <w:jc w:val="left"/>
            </w:pPr>
            <w:r>
              <w:t xml:space="preserve">Technical Documentation &amp; As-Built Drawings</w:t>
            </w:r>
          </w:p>
        </w:tc>
        <w:tc>
          <w:tcPr/>
          <w:p>
            <w:pPr>
              <w:pStyle w:val="Compact"/>
              <w:jc w:val="left"/>
            </w:pPr>
            <w:r>
              <w:t xml:space="preserve">1 lot</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Week 14</w:t>
            </w:r>
          </w:p>
        </w:tc>
      </w:tr>
      <w:tr>
        <w:tc>
          <w:tcPr/>
          <w:p>
            <w:pPr>
              <w:pStyle w:val="Compact"/>
              <w:jc w:val="left"/>
            </w:pPr>
            <w:r>
              <w:t xml:space="preserve">8</w:t>
            </w:r>
          </w:p>
        </w:tc>
        <w:tc>
          <w:tcPr/>
          <w:p>
            <w:pPr>
              <w:pStyle w:val="Compact"/>
              <w:jc w:val="left"/>
            </w:pPr>
            <w:r>
              <w:t xml:space="preserve">Post-Deployment On-Call Support (90 days, 4-hr SLA)</w:t>
            </w:r>
          </w:p>
        </w:tc>
        <w:tc>
          <w:tcPr/>
          <w:p>
            <w:pPr>
              <w:pStyle w:val="Compact"/>
              <w:jc w:val="left"/>
            </w:pPr>
            <w:r>
              <w:t xml:space="preserve">90 days</w:t>
            </w:r>
          </w:p>
        </w:tc>
        <w:tc>
          <w:tcPr/>
          <w:p>
            <w:pPr>
              <w:pStyle w:val="Compact"/>
              <w:jc w:val="left"/>
            </w:pPr>
            <w:r>
              <w:t xml:space="preserve">$1,200.00/mo</w:t>
            </w:r>
          </w:p>
        </w:tc>
        <w:tc>
          <w:tcPr/>
          <w:p>
            <w:pPr>
              <w:pStyle w:val="Compact"/>
              <w:jc w:val="left"/>
            </w:pPr>
            <w:r>
              <w:t xml:space="preserve">$3,600.00</w:t>
            </w:r>
          </w:p>
        </w:tc>
        <w:tc>
          <w:tcPr/>
          <w:p>
            <w:pPr>
              <w:pStyle w:val="Compact"/>
              <w:jc w:val="left"/>
            </w:pPr>
            <w:r>
              <w:t xml:space="preserve">Weeks 15–21</w:t>
            </w:r>
          </w:p>
        </w:tc>
      </w:tr>
      <w:tr>
        <w:tc>
          <w:tcPr/>
          <w:p>
            <w:pPr>
              <w:pStyle w:val="Compact"/>
              <w:jc w:val="left"/>
            </w:pPr>
            <w:r>
              <w:t xml:space="preserve">9</w:t>
            </w:r>
          </w:p>
        </w:tc>
        <w:tc>
          <w:tcPr/>
          <w:p>
            <w:pPr>
              <w:pStyle w:val="Compact"/>
              <w:jc w:val="left"/>
            </w:pPr>
            <w:r>
              <w:t xml:space="preserve">Travel &amp; Local Transportation within Chicago Metro Area</w:t>
            </w:r>
          </w:p>
        </w:tc>
        <w:tc>
          <w:tcPr/>
          <w:p>
            <w:pPr>
              <w:pStyle w:val="Compact"/>
              <w:jc w:val="left"/>
            </w:pPr>
            <w:r>
              <w:t xml:space="preserve">14 wks</w:t>
            </w:r>
          </w:p>
        </w:tc>
        <w:tc>
          <w:tcPr/>
          <w:p>
            <w:pPr>
              <w:pStyle w:val="Compact"/>
              <w:jc w:val="left"/>
            </w:pPr>
            <w:r>
              <w:t xml:space="preserve">$850.00</w:t>
            </w:r>
          </w:p>
        </w:tc>
        <w:tc>
          <w:tcPr/>
          <w:p>
            <w:pPr>
              <w:pStyle w:val="Compact"/>
              <w:jc w:val="left"/>
            </w:pPr>
            <w:r>
              <w:t xml:space="preserve">$11,900.00</w:t>
            </w:r>
          </w:p>
        </w:tc>
        <w:tc>
          <w:tcPr/>
          <w:p>
            <w:pPr>
              <w:pStyle w:val="Compact"/>
              <w:jc w:val="left"/>
            </w:pPr>
            <w:r>
              <w:t xml:space="preserve">Full Term</w:t>
            </w:r>
          </w:p>
        </w:tc>
      </w:tr>
      <w:tr>
        <w:tc>
          <w:tcPr>
            <w:gridSpan w:val="4"/>
          </w:tcPr>
          <w:p>
            <w:pPr>
              <w:pStyle w:val="Compact"/>
              <w:jc w:val="right"/>
            </w:pPr>
            <w:r>
              <w:t xml:space="preserve">Subtotal</w:t>
            </w:r>
          </w:p>
        </w:tc>
        <w:tc>
          <w:tcPr/>
          <w:p>
            <w:pPr>
              <w:pStyle w:val="Compact"/>
              <w:jc w:val="left"/>
            </w:pPr>
            <w:r>
              <w:t xml:space="preserve">$194,600.00</w:t>
            </w:r>
          </w:p>
        </w:tc>
        <w:tc>
          <w:tcPr/>
          <w:p>
            <w:pPr>
              <w:pStyle w:val="Compact"/>
            </w:pPr>
          </w:p>
        </w:tc>
      </w:tr>
      <w:tr>
        <w:tc>
          <w:tcPr>
            <w:gridSpan w:val="4"/>
          </w:tcPr>
          <w:p>
            <w:pPr>
              <w:pStyle w:val="Compact"/>
              <w:jc w:val="right"/>
            </w:pPr>
            <w:r>
              <w:t xml:space="preserve">Illinois State Sales Tax (8.75%)</w:t>
            </w:r>
          </w:p>
        </w:tc>
        <w:tc>
          <w:tcPr/>
          <w:p>
            <w:pPr>
              <w:pStyle w:val="Compact"/>
              <w:jc w:val="left"/>
            </w:pPr>
            <w:r>
              <w:t xml:space="preserve">$17,027.50</w:t>
            </w:r>
          </w:p>
        </w:tc>
        <w:tc>
          <w:tcPr/>
          <w:p>
            <w:pPr>
              <w:pStyle w:val="Compact"/>
            </w:pPr>
          </w:p>
        </w:tc>
      </w:tr>
      <w:tr>
        <w:tc>
          <w:tcPr>
            <w:gridSpan w:val="4"/>
          </w:tcPr>
          <w:p>
            <w:pPr>
              <w:pStyle w:val="Compact"/>
              <w:jc w:val="right"/>
            </w:pPr>
            <w:r>
              <w:t xml:space="preserve">Chicago Municipal Tax (2.5%)</w:t>
            </w:r>
          </w:p>
        </w:tc>
        <w:tc>
          <w:tcPr/>
          <w:p>
            <w:pPr>
              <w:pStyle w:val="Compact"/>
              <w:jc w:val="left"/>
            </w:pPr>
            <w:r>
              <w:t xml:space="preserve">$4,865.00</w:t>
            </w:r>
          </w:p>
        </w:tc>
        <w:tc>
          <w:tcPr/>
          <w:p>
            <w:pPr>
              <w:pStyle w:val="Compact"/>
            </w:pPr>
          </w:p>
        </w:tc>
      </w:tr>
      <w:tr>
        <w:tc>
          <w:tcPr>
            <w:gridSpan w:val="4"/>
          </w:tcPr>
          <w:p>
            <w:pPr>
              <w:pStyle w:val="Compact"/>
              <w:jc w:val="right"/>
            </w:pPr>
            <w:r>
              <w:t xml:space="preserve">TOTAL ESTIMATED COST (USD)</w:t>
            </w:r>
          </w:p>
        </w:tc>
        <w:tc>
          <w:tcPr/>
          <w:p>
            <w:pPr>
              <w:pStyle w:val="Compact"/>
              <w:jc w:val="left"/>
            </w:pPr>
            <w:r>
              <w:t xml:space="preserve">$216,492.50</w:t>
            </w:r>
          </w:p>
        </w:tc>
        <w:tc>
          <w:tcPr/>
          <w:p>
            <w:pPr>
              <w:pStyle w:val="Compact"/>
            </w:pPr>
          </w:p>
        </w:tc>
      </w:tr>
    </w:tbl>
    <w:bookmarkEnd w:id="24"/>
    <w:bookmarkStart w:id="25" w:name="terms-conditions"/>
    <w:p>
      <w:pPr>
        <w:pStyle w:val="Heading3"/>
      </w:pPr>
      <w:r>
        <w:t xml:space="preserve">Terms &amp; Conditions</w:t>
      </w:r>
    </w:p>
    <w:p>
      <w:pPr>
        <w:numPr>
          <w:ilvl w:val="0"/>
          <w:numId w:val="1002"/>
        </w:numPr>
        <w:pStyle w:val="Compact"/>
      </w:pPr>
      <w:r>
        <w:t xml:space="preserve">This Quotation Estimate is valid for thirty (30) calendar days from the date of issue. After the expiration date, pricing and availability of the assigned Computer Engineer team are subject to re-evaluation.</w:t>
      </w:r>
    </w:p>
    <w:p>
      <w:pPr>
        <w:numPr>
          <w:ilvl w:val="0"/>
          <w:numId w:val="1002"/>
        </w:numPr>
        <w:pStyle w:val="Compact"/>
      </w:pPr>
      <w:r>
        <w:t xml:space="preserve">Payment terms: 30% deposit due upon contract execution; 40% due at the midpoint of the project (end of Week 7); 30% due upon final acceptance and delivery of all documentation. All payments are due net 30 days from invoice date.</w:t>
      </w:r>
    </w:p>
    <w:p>
      <w:pPr>
        <w:numPr>
          <w:ilvl w:val="0"/>
          <w:numId w:val="1002"/>
        </w:numPr>
        <w:pStyle w:val="Compact"/>
      </w:pPr>
      <w:r>
        <w:t xml:space="preserve">All work will be performed in compliance with applicable United States federal regulations, Illinois state building and electrical codes, and the City of Chicago municipal ordinances governing IT infrastructure installations.</w:t>
      </w:r>
    </w:p>
    <w:p>
      <w:pPr>
        <w:numPr>
          <w:ilvl w:val="0"/>
          <w:numId w:val="1002"/>
        </w:numPr>
        <w:pStyle w:val="Compact"/>
      </w:pPr>
      <w:r>
        <w:t xml:space="preserve">The Computer Engineer team assigned to this project will hold relevant certifications including but not limited to CCIE, AWS Solutions Architect Professional, and CompTIA Security+. All personnel will undergo a background check prior to on-site access in Chicago.</w:t>
      </w:r>
    </w:p>
    <w:p>
      <w:pPr>
        <w:numPr>
          <w:ilvl w:val="0"/>
          <w:numId w:val="1002"/>
        </w:numPr>
        <w:pStyle w:val="Compact"/>
      </w:pPr>
      <w:r>
        <w:t xml:space="preserve">Any changes to the scope of work beyond 10% of the original estimate will require a written change order signed by both parties before additional work commences.</w:t>
      </w:r>
    </w:p>
    <w:p>
      <w:pPr>
        <w:numPr>
          <w:ilvl w:val="0"/>
          <w:numId w:val="1002"/>
        </w:numPr>
        <w:pStyle w:val="Compact"/>
      </w:pPr>
      <w:r>
        <w:t xml:space="preserve">Midwest Technical Solutions LLC shall maintain general liability insurance of no less than $2,000,000 per occurrence and professional liability (E&amp;O) insurance of $1,000,000 throughout the duration of this engagement in the United States Chicago area.</w:t>
      </w:r>
    </w:p>
    <w:p>
      <w:pPr>
        <w:numPr>
          <w:ilvl w:val="0"/>
          <w:numId w:val="1002"/>
        </w:numPr>
        <w:pStyle w:val="Compact"/>
      </w:pPr>
      <w:r>
        <w:t xml:space="preserve">This Quotation Estimate does not include the cost of hardware, software licenses, or third-party equipment. A separate hardware procurement estimate will be provided upon request.</w:t>
      </w:r>
    </w:p>
    <w:p>
      <w:pPr>
        <w:numPr>
          <w:ilvl w:val="0"/>
          <w:numId w:val="1002"/>
        </w:numPr>
        <w:pStyle w:val="Compact"/>
      </w:pPr>
      <w:r>
        <w:t xml:space="preserve">Disputes arising from this agreement shall be resolved through binding arbitration in Cook County, Illinois, in accordance with the rules of the American Arbitration Association.</w:t>
      </w:r>
    </w:p>
    <w:bookmarkEnd w:id="25"/>
    <w:bookmarkStart w:id="26" w:name="authorization-acceptance"/>
    <w:p>
      <w:pPr>
        <w:pStyle w:val="Heading3"/>
      </w:pPr>
      <w:r>
        <w:t xml:space="preserve">Authorization &amp; Acceptance</w:t>
      </w:r>
    </w:p>
    <w:p>
      <w:pPr>
        <w:pStyle w:val="FirstParagraph"/>
      </w:pPr>
      <w:r>
        <w:t xml:space="preserve">By signing below, both parties acknowledge that this Quotation Estimate for Computer Engineer services in United States Chicago has been reviewed, understood, and agreed upon. This document, once countersigned, constitutes a binding service agreement between the parties.</w:t>
      </w:r>
    </w:p>
    <w:p>
      <w:pPr>
        <w:pStyle w:val="BodyText"/>
      </w:pPr>
      <w:r>
        <w:rPr>
          <w:bCs/>
          <w:b/>
        </w:rPr>
        <w:t xml:space="preserve">Midwest Technical Solutions LLC</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Lakefront Industrial Group, Inc.</w:t>
      </w:r>
      <w:r>
        <w:br/>
      </w:r>
      <w:r>
        <w:t xml:space="preserve">Authorized Representative</w:t>
      </w:r>
      <w:r>
        <w:br/>
      </w:r>
      <w:r>
        <w:t xml:space="preserve">Name: _________________________</w:t>
      </w:r>
      <w:r>
        <w:br/>
      </w:r>
      <w:r>
        <w:t xml:space="preserve">Title: _________________________</w:t>
      </w:r>
      <w:r>
        <w:br/>
      </w:r>
      <w:r>
        <w:t xml:space="preserve">Date: _________________________</w:t>
      </w:r>
    </w:p>
    <w:bookmarkEnd w:id="26"/>
    <w:p>
      <w:pPr>
        <w:pStyle w:val="BodyText"/>
      </w:pPr>
      <w:r>
        <w:t xml:space="preserve">Midwest Technical Solutions LLC • 1200 N. Michigan Avenue, Suite 2400, Chicago, IL 60601, United States</w:t>
      </w:r>
    </w:p>
    <w:p>
      <w:pPr>
        <w:pStyle w:val="BodyText"/>
      </w:pPr>
      <w:r>
        <w:t xml:space="preserve">This Quotation Estimate (QTE-2025-04872) was generated on June 12, 2025. All rates are in United States Dollars (USD). This document is confidential and intended solely for the named recipient.</w:t>
      </w:r>
    </w:p>
    <w:p>
      <w:pPr>
        <w:pStyle w:val="BodyText"/>
      </w:pPr>
      <w:r>
        <w:t xml:space="preserve">Page 1 of 1 • For questions regarding this estimate, contact quotes@midwesttechsolutions.com or call (312) 555-0187.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United States Chicago</dc:title>
  <dc:creator/>
  <dc:language>en</dc:language>
  <cp:keywords/>
  <dcterms:created xsi:type="dcterms:W3CDTF">2026-10-10T02:39:23Z</dcterms:created>
  <dcterms:modified xsi:type="dcterms:W3CDTF">2026-10-10T02:39:23Z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