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apex-technical-solutions-inc."/>
    <w:p>
      <w:pPr>
        <w:pStyle w:val="Heading1"/>
      </w:pPr>
      <w:r>
        <w:t xml:space="preserve">Apex Technical Solutions, Inc.</w:t>
      </w:r>
    </w:p>
    <w:p>
      <w:pPr>
        <w:pStyle w:val="FirstParagraph"/>
      </w:pPr>
      <w:r>
        <w:t xml:space="preserve">1200 Wilshire Boulevard, Suite 4500, Los Angeles, California 90017, United States</w:t>
      </w:r>
    </w:p>
    <w:p>
      <w:pPr>
        <w:pStyle w:val="BodyText"/>
      </w:pPr>
      <w:r>
        <w:t xml:space="preserve">Phone: (213) 555-0187  |  Email: estimates@apextechnicalsolutions.com  |  Tax ID: 98-7654321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Crest Development Group LLC</w:t>
      </w:r>
    </w:p>
    <w:p>
      <w:pPr>
        <w:pStyle w:val="BodyText"/>
      </w:pPr>
      <w:r>
        <w:rPr>
          <w:bCs/>
          <w:b/>
        </w:rPr>
        <w:t xml:space="preserve">Client Address:</w:t>
      </w:r>
      <w:r>
        <w:t xml:space="preserve"> </w:t>
      </w:r>
      <w:r>
        <w:t xml:space="preserve">888 S. Grand Avenue, Los Angeles, CA 90017</w:t>
      </w:r>
    </w:p>
    <w:bookmarkEnd w:id="21"/>
    <w:bookmarkStart w:id="22" w:name="project-reference"/>
    <w:p>
      <w:pPr>
        <w:pStyle w:val="Heading3"/>
      </w:pPr>
      <w:r>
        <w:t xml:space="preserve">Project Reference</w:t>
      </w:r>
    </w:p>
    <w:p>
      <w:pPr>
        <w:pStyle w:val="FirstParagraph"/>
      </w:pPr>
      <w:r>
        <w:rPr>
          <w:bCs/>
          <w:b/>
        </w:rPr>
        <w:t xml:space="preserve">Project Name:</w:t>
      </w:r>
      <w:r>
        <w:t xml:space="preserve"> </w:t>
      </w:r>
      <w:r>
        <w:t xml:space="preserve">Enterprise IT Infrastructure Modernization</w:t>
      </w:r>
    </w:p>
    <w:p>
      <w:pPr>
        <w:pStyle w:val="BodyText"/>
      </w:pPr>
      <w:r>
        <w:rPr>
          <w:bCs/>
          <w:b/>
        </w:rPr>
        <w:t xml:space="preserve">Location:</w:t>
      </w:r>
      <w:r>
        <w:t xml:space="preserve"> </w:t>
      </w:r>
      <w:r>
        <w:t xml:space="preserve">United States Los Angeles Metro Area</w:t>
      </w:r>
    </w:p>
    <w:p>
      <w:pPr>
        <w:pStyle w:val="BodyText"/>
      </w:pPr>
      <w:r>
        <w:rPr>
          <w:bCs/>
          <w:b/>
        </w:rPr>
        <w:t xml:space="preserve">Duration:</w:t>
      </w:r>
      <w:r>
        <w:t xml:space="preserve"> </w:t>
      </w:r>
      <w:r>
        <w:t xml:space="preserve">14 Weeks (Estimated)</w:t>
      </w:r>
    </w:p>
    <w:p>
      <w:pPr>
        <w:pStyle w:val="BodyText"/>
      </w:pPr>
      <w:r>
        <w:rPr>
          <w:bCs/>
          <w:b/>
        </w:rPr>
        <w:t xml:space="preserve">Primary Discipline:</w:t>
      </w:r>
      <w:r>
        <w:t xml:space="preserve"> </w:t>
      </w:r>
      <w:r>
        <w:t xml:space="preserve">Computer Engineer</w:t>
      </w:r>
    </w:p>
    <w:p>
      <w:pPr>
        <w:pStyle w:val="BodyText"/>
      </w:pPr>
      <w:r>
        <w:rPr>
          <w:bCs/>
          <w:b/>
        </w:rPr>
        <w:t xml:space="preserve">Point of Contact:</w:t>
      </w:r>
      <w:r>
        <w:t xml:space="preserve"> </w:t>
      </w:r>
      <w:r>
        <w:t xml:space="preserve">Mr. David Chen, VP of Operations</w:t>
      </w:r>
    </w:p>
    <w:bookmarkEnd w:id="22"/>
    <w:p>
      <w:pPr>
        <w:pStyle w:val="BodyText"/>
      </w:pPr>
      <w:r>
        <w:t xml:space="preserve">This</w:t>
      </w:r>
      <w:r>
        <w:t xml:space="preserve"> </w:t>
      </w:r>
      <w:r>
        <w:t xml:space="preserve">Quotation Estimate</w:t>
      </w:r>
      <w:r>
        <w:t xml:space="preserve"> </w:t>
      </w:r>
      <w:r>
        <w:t xml:space="preserve">is prepared by Apex Technical Solutions, Inc. in response to the formal request for services submitted by Pacific Crest Development Group LLC. The scope of work outlined herein pertains to the engagement of a senior</w:t>
      </w:r>
      <w:r>
        <w:t xml:space="preserve"> </w:t>
      </w:r>
      <w:r>
        <w:t xml:space="preserve">Computer Engineer</w:t>
      </w:r>
      <w:r>
        <w:t xml:space="preserve"> </w:t>
      </w:r>
      <w:r>
        <w:t xml:space="preserve">to design, implement, and oversee the modernization of the client's enterprise IT infrastructure within the</w:t>
      </w:r>
      <w:r>
        <w:t xml:space="preserve"> </w:t>
      </w:r>
      <w:r>
        <w:t xml:space="preserve">United States Los Angeles</w:t>
      </w:r>
      <w:r>
        <w:t xml:space="preserve"> </w:t>
      </w:r>
      <w:r>
        <w:t xml:space="preserve">metropolitan region. All pricing, timelines, and deliverables presented in this document are subject to the terms and conditions specified below.</w:t>
      </w:r>
    </w:p>
    <w:bookmarkStart w:id="23" w:name="scope-of-services"/>
    <w:p>
      <w:pPr>
        <w:pStyle w:val="Heading2"/>
      </w:pPr>
      <w:r>
        <w:t xml:space="preserve">Scope of Services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provide comprehensive technical leadership and hands-on engineering support for the following workstreams:</w:t>
      </w:r>
    </w:p>
    <w:p>
      <w:pPr>
        <w:numPr>
          <w:ilvl w:val="0"/>
          <w:numId w:val="1001"/>
        </w:numPr>
        <w:pStyle w:val="Compact"/>
      </w:pPr>
      <w:r>
        <w:t xml:space="preserve">Conduct a full audit of the existing hardware, software, and network infrastructure located at the client's primary facility in downtown Los Angeles.</w:t>
      </w:r>
    </w:p>
    <w:p>
      <w:pPr>
        <w:numPr>
          <w:ilvl w:val="0"/>
          <w:numId w:val="1001"/>
        </w:numPr>
        <w:pStyle w:val="Compact"/>
      </w:pPr>
      <w:r>
        <w:t xml:space="preserve">Design a scalable, redundant server architecture capable of supporting 500+ concurrent users across the United States Los Angeles office network.</w:t>
      </w:r>
    </w:p>
    <w:p>
      <w:pPr>
        <w:numPr>
          <w:ilvl w:val="0"/>
          <w:numId w:val="1001"/>
        </w:numPr>
        <w:pStyle w:val="Compact"/>
      </w:pPr>
      <w:r>
        <w:t xml:space="preserve">Implement and configure enterprise-grade cybersecurity protocols, including firewalls, intrusion detection systems, and endpoint protection solutions.</w:t>
      </w:r>
    </w:p>
    <w:p>
      <w:pPr>
        <w:numPr>
          <w:ilvl w:val="0"/>
          <w:numId w:val="1001"/>
        </w:numPr>
        <w:pStyle w:val="Compact"/>
      </w:pPr>
      <w:r>
        <w:t xml:space="preserve">Oversee the migration of legacy applications to a cloud-hybrid environment, ensuring zero-downtime transitions during business hours.</w:t>
      </w:r>
    </w:p>
    <w:p>
      <w:pPr>
        <w:numPr>
          <w:ilvl w:val="0"/>
          <w:numId w:val="1001"/>
        </w:numPr>
        <w:pStyle w:val="Compact"/>
      </w:pPr>
      <w:r>
        <w:t xml:space="preserve">Provide ongoing technical consultation, performance tuning, and disaster recovery planning for a period of twelve (12) months following project completion.</w:t>
      </w:r>
    </w:p>
    <w:p>
      <w:pPr>
        <w:numPr>
          <w:ilvl w:val="0"/>
          <w:numId w:val="1001"/>
        </w:numPr>
        <w:pStyle w:val="Compact"/>
      </w:pPr>
      <w:r>
        <w:t xml:space="preserve">Deliver comprehensive documentation, including system architecture diagrams, configuration manuals, and operational runbooks.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Initial Infrastructure Audit &amp; Assessment by Senior Computer Engineer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System Architecture Design &amp; Engineering Documentation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Weeks 2–3</w:t>
            </w:r>
          </w:p>
        </w:tc>
      </w:tr>
      <w:tr>
        <w:tc>
          <w:tcPr/>
          <w:p>
            <w:pPr>
              <w:pStyle w:val="Compact"/>
              <w:jc w:val="left"/>
            </w:pPr>
            <w:r>
              <w:t xml:space="preserve">3</w:t>
            </w:r>
          </w:p>
        </w:tc>
        <w:tc>
          <w:tcPr/>
          <w:p>
            <w:pPr>
              <w:pStyle w:val="Compact"/>
              <w:jc w:val="left"/>
            </w:pPr>
            <w:r>
              <w:t xml:space="preserve">Hardware Procurement Oversight &amp; Server Rack Installation (Los Angeles Site)</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Weeks 4–6</w:t>
            </w:r>
          </w:p>
        </w:tc>
      </w:tr>
      <w:tr>
        <w:tc>
          <w:tcPr/>
          <w:p>
            <w:pPr>
              <w:pStyle w:val="Compact"/>
              <w:jc w:val="left"/>
            </w:pPr>
            <w:r>
              <w:t xml:space="preserve">4</w:t>
            </w:r>
          </w:p>
        </w:tc>
        <w:tc>
          <w:tcPr/>
          <w:p>
            <w:pPr>
              <w:pStyle w:val="Compact"/>
              <w:jc w:val="left"/>
            </w:pPr>
            <w:r>
              <w:t xml:space="preserve">Network Configuration, Switching &amp; Routing Implementation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Weeks 6–8</w:t>
            </w:r>
          </w:p>
        </w:tc>
      </w:tr>
      <w:tr>
        <w:tc>
          <w:tcPr/>
          <w:p>
            <w:pPr>
              <w:pStyle w:val="Compact"/>
              <w:jc w:val="left"/>
            </w:pPr>
            <w:r>
              <w:t xml:space="preserve">5</w:t>
            </w:r>
          </w:p>
        </w:tc>
        <w:tc>
          <w:tcPr/>
          <w:p>
            <w:pPr>
              <w:pStyle w:val="Compact"/>
              <w:jc w:val="left"/>
            </w:pPr>
            <w:r>
              <w:t xml:space="preserve">Cybersecurity Hardening, Firewall Deployment &amp; Penetration Testing</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Weeks 8–10</w:t>
            </w:r>
          </w:p>
        </w:tc>
      </w:tr>
      <w:tr>
        <w:tc>
          <w:tcPr/>
          <w:p>
            <w:pPr>
              <w:pStyle w:val="Compact"/>
              <w:jc w:val="left"/>
            </w:pPr>
            <w:r>
              <w:t xml:space="preserve">6</w:t>
            </w:r>
          </w:p>
        </w:tc>
        <w:tc>
          <w:tcPr/>
          <w:p>
            <w:pPr>
              <w:pStyle w:val="Compact"/>
              <w:jc w:val="left"/>
            </w:pPr>
            <w:r>
              <w:t xml:space="preserve">Cloud-Hybrid Migration &amp; Application Re-Engineering</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c>
          <w:tcPr/>
          <w:p>
            <w:pPr>
              <w:pStyle w:val="Compact"/>
              <w:jc w:val="left"/>
            </w:pPr>
            <w:r>
              <w:t xml:space="preserve">Weeks 10–12</w:t>
            </w:r>
          </w:p>
        </w:tc>
      </w:tr>
      <w:tr>
        <w:tc>
          <w:tcPr/>
          <w:p>
            <w:pPr>
              <w:pStyle w:val="Compact"/>
              <w:jc w:val="left"/>
            </w:pPr>
            <w:r>
              <w:t xml:space="preserve">7</w:t>
            </w:r>
          </w:p>
        </w:tc>
        <w:tc>
          <w:tcPr/>
          <w:p>
            <w:pPr>
              <w:pStyle w:val="Compact"/>
              <w:jc w:val="left"/>
            </w:pPr>
            <w:r>
              <w:t xml:space="preserve">End-to-End Testing, Load Balancing &amp; Performance Optimization</w:t>
            </w:r>
          </w:p>
        </w:tc>
        <w:tc>
          <w:tcPr/>
          <w:p>
            <w:pPr>
              <w:pStyle w:val="Compact"/>
              <w:jc w:val="left"/>
            </w:pPr>
            <w:r>
              <w:t xml:space="preserve">1</w:t>
            </w:r>
          </w:p>
        </w:tc>
        <w:tc>
          <w:tcPr/>
          <w:p>
            <w:pPr>
              <w:pStyle w:val="Compact"/>
              <w:jc w:val="left"/>
            </w:pPr>
            <w:r>
              <w:t xml:space="preserve">$7,300.00</w:t>
            </w:r>
          </w:p>
        </w:tc>
        <w:tc>
          <w:tcPr/>
          <w:p>
            <w:pPr>
              <w:pStyle w:val="Compact"/>
              <w:jc w:val="left"/>
            </w:pPr>
            <w:r>
              <w:t xml:space="preserve">$7,300.00</w:t>
            </w:r>
          </w:p>
        </w:tc>
        <w:tc>
          <w:tcPr/>
          <w:p>
            <w:pPr>
              <w:pStyle w:val="Compact"/>
              <w:jc w:val="left"/>
            </w:pPr>
            <w:r>
              <w:t xml:space="preserve">Week 13</w:t>
            </w:r>
          </w:p>
        </w:tc>
      </w:tr>
      <w:tr>
        <w:tc>
          <w:tcPr/>
          <w:p>
            <w:pPr>
              <w:pStyle w:val="Compact"/>
              <w:jc w:val="left"/>
            </w:pPr>
            <w:r>
              <w:t xml:space="preserve">8</w:t>
            </w:r>
          </w:p>
        </w:tc>
        <w:tc>
          <w:tcPr/>
          <w:p>
            <w:pPr>
              <w:pStyle w:val="Compact"/>
              <w:jc w:val="left"/>
            </w:pPr>
            <w:r>
              <w:t xml:space="preserve">Final Documentation Package, Training Sessions &amp; Handover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Week 14</w:t>
            </w:r>
          </w:p>
        </w:tc>
      </w:tr>
      <w:tr>
        <w:tc>
          <w:tcPr/>
          <w:p>
            <w:pPr>
              <w:pStyle w:val="Compact"/>
              <w:jc w:val="left"/>
            </w:pPr>
            <w:r>
              <w:t xml:space="preserve">9</w:t>
            </w:r>
          </w:p>
        </w:tc>
        <w:tc>
          <w:tcPr/>
          <w:p>
            <w:pPr>
              <w:pStyle w:val="Compact"/>
              <w:jc w:val="left"/>
            </w:pPr>
            <w:r>
              <w:t xml:space="preserve">Post-Deployment Support &amp; Consultation (12-Month Retainer)</w:t>
            </w:r>
          </w:p>
        </w:tc>
        <w:tc>
          <w:tcPr/>
          <w:p>
            <w:pPr>
              <w:pStyle w:val="Compact"/>
              <w:jc w:val="left"/>
            </w:pPr>
            <w:r>
              <w:t xml:space="preserve">12</w:t>
            </w:r>
          </w:p>
        </w:tc>
        <w:tc>
          <w:tcPr/>
          <w:p>
            <w:pPr>
              <w:pStyle w:val="Compact"/>
              <w:jc w:val="left"/>
            </w:pPr>
            <w:r>
              <w:t xml:space="preserve">$1,150.00/mo</w:t>
            </w:r>
          </w:p>
        </w:tc>
        <w:tc>
          <w:tcPr/>
          <w:p>
            <w:pPr>
              <w:pStyle w:val="Compact"/>
              <w:jc w:val="left"/>
            </w:pPr>
            <w:r>
              <w:t xml:space="preserve">$13,800.00</w:t>
            </w:r>
          </w:p>
        </w:tc>
        <w:tc>
          <w:tcPr/>
          <w:p>
            <w:pPr>
              <w:pStyle w:val="Compact"/>
              <w:jc w:val="left"/>
            </w:pPr>
            <w:r>
              <w:t xml:space="preserve">Months 1–12</w:t>
            </w:r>
          </w:p>
        </w:tc>
      </w:tr>
      <w:tr>
        <w:tc>
          <w:tcPr>
            <w:gridSpan w:val="4"/>
          </w:tcPr>
          <w:p>
            <w:pPr>
              <w:pStyle w:val="Compact"/>
              <w:jc w:val="right"/>
            </w:pPr>
            <w:r>
              <w:t xml:space="preserve">Subtotal</w:t>
            </w:r>
          </w:p>
        </w:tc>
        <w:tc>
          <w:tcPr/>
          <w:p>
            <w:pPr>
              <w:pStyle w:val="Compact"/>
              <w:jc w:val="left"/>
            </w:pPr>
            <w:r>
              <w:t xml:space="preserve">$111,800.00</w:t>
            </w:r>
          </w:p>
        </w:tc>
        <w:tc>
          <w:tcPr/>
          <w:p>
            <w:pPr>
              <w:pStyle w:val="Compact"/>
            </w:pPr>
          </w:p>
        </w:tc>
      </w:tr>
      <w:tr>
        <w:tc>
          <w:tcPr>
            <w:gridSpan w:val="4"/>
          </w:tcPr>
          <w:p>
            <w:pPr>
              <w:pStyle w:val="Compact"/>
              <w:jc w:val="right"/>
            </w:pPr>
            <w:r>
              <w:t xml:space="preserve">Applicable Sales Tax (California – 9.5%)</w:t>
            </w:r>
          </w:p>
        </w:tc>
        <w:tc>
          <w:tcPr/>
          <w:p>
            <w:pPr>
              <w:pStyle w:val="Compact"/>
              <w:jc w:val="left"/>
            </w:pPr>
            <w:r>
              <w:t xml:space="preserve">$10,621.00</w:t>
            </w:r>
          </w:p>
        </w:tc>
        <w:tc>
          <w:tcPr/>
          <w:p>
            <w:pPr>
              <w:pStyle w:val="Compact"/>
            </w:pPr>
          </w:p>
        </w:tc>
      </w:tr>
      <w:tr>
        <w:tc>
          <w:tcPr>
            <w:gridSpan w:val="4"/>
          </w:tcPr>
          <w:p>
            <w:pPr>
              <w:pStyle w:val="Compact"/>
              <w:jc w:val="right"/>
            </w:pPr>
            <w:r>
              <w:rPr>
                <w:bCs/>
                <w:b/>
              </w:rPr>
              <w:t xml:space="preserve">Grand Total (USD)</w:t>
            </w:r>
          </w:p>
        </w:tc>
        <w:tc>
          <w:tcPr/>
          <w:p>
            <w:pPr>
              <w:pStyle w:val="Compact"/>
              <w:jc w:val="left"/>
            </w:pPr>
            <w:r>
              <w:rPr>
                <w:bCs/>
                <w:b/>
              </w:rPr>
              <w:t xml:space="preserve">$122,421.00</w:t>
            </w:r>
          </w:p>
        </w:tc>
        <w:tc>
          <w:tcPr/>
          <w:p>
            <w:pPr>
              <w:pStyle w:val="Compact"/>
            </w:pPr>
          </w:p>
        </w:tc>
      </w:tr>
    </w:tbl>
    <w:bookmarkEnd w:id="24"/>
    <w:bookmarkStart w:id="25" w:name="payment-schedule"/>
    <w:p>
      <w:pPr>
        <w:pStyle w:val="Heading2"/>
      </w:pPr>
      <w:r>
        <w:t xml:space="preserve">Payment Schedule</w:t>
      </w:r>
    </w:p>
    <w:p>
      <w:pPr>
        <w:pStyle w:val="FirstParagraph"/>
      </w:pPr>
      <w:r>
        <w:t xml:space="preserve">Payment for the services described in this</w:t>
      </w:r>
      <w:r>
        <w:t xml:space="preserve"> </w:t>
      </w:r>
      <w:r>
        <w:t xml:space="preserve">Quotation Estimate</w:t>
      </w:r>
      <w:r>
        <w:t xml:space="preserve"> </w:t>
      </w:r>
      <w:r>
        <w:t xml:space="preserve">shall be made according to the following milestone-based schedule. All invoices are payable within thirty (30) days of receipt. Late payments shall accrue interest at a rate of 1.5% per month.</w:t>
      </w:r>
    </w:p>
    <w:p>
      <w:pPr>
        <w:numPr>
          <w:ilvl w:val="0"/>
          <w:numId w:val="1002"/>
        </w:numPr>
        <w:pStyle w:val="Compact"/>
      </w:pPr>
      <w:r>
        <w:rPr>
          <w:bCs/>
          <w:b/>
        </w:rPr>
        <w:t xml:space="preserve">Milestone 1 (30%):</w:t>
      </w:r>
      <w:r>
        <w:t xml:space="preserve"> </w:t>
      </w:r>
      <w:r>
        <w:t xml:space="preserve">Due upon execution of this Quotation Estimate – $36,726.30</w:t>
      </w:r>
    </w:p>
    <w:p>
      <w:pPr>
        <w:numPr>
          <w:ilvl w:val="0"/>
          <w:numId w:val="1002"/>
        </w:numPr>
        <w:pStyle w:val="Compact"/>
      </w:pPr>
      <w:r>
        <w:rPr>
          <w:bCs/>
          <w:b/>
        </w:rPr>
        <w:t xml:space="preserve">Milestone 2 (25%):</w:t>
      </w:r>
      <w:r>
        <w:t xml:space="preserve"> </w:t>
      </w:r>
      <w:r>
        <w:t xml:space="preserve">Due upon completion of Architecture Design (Week 3) – $30,605.25</w:t>
      </w:r>
    </w:p>
    <w:p>
      <w:pPr>
        <w:numPr>
          <w:ilvl w:val="0"/>
          <w:numId w:val="1002"/>
        </w:numPr>
        <w:pStyle w:val="Compact"/>
      </w:pPr>
      <w:r>
        <w:rPr>
          <w:bCs/>
          <w:b/>
        </w:rPr>
        <w:t xml:space="preserve">Milestone 3 (25%):</w:t>
      </w:r>
      <w:r>
        <w:t xml:space="preserve"> </w:t>
      </w:r>
      <w:r>
        <w:t xml:space="preserve">Due upon completion of Network &amp; Security Implementation (Week 10) – $30,605.25</w:t>
      </w:r>
    </w:p>
    <w:p>
      <w:pPr>
        <w:numPr>
          <w:ilvl w:val="0"/>
          <w:numId w:val="1002"/>
        </w:numPr>
        <w:pStyle w:val="Compact"/>
      </w:pPr>
      <w:r>
        <w:rPr>
          <w:bCs/>
          <w:b/>
        </w:rPr>
        <w:t xml:space="preserve">Milestone 4 (20%):</w:t>
      </w:r>
      <w:r>
        <w:t xml:space="preserve"> </w:t>
      </w:r>
      <w:r>
        <w:t xml:space="preserve">Due upon Final Handover (Week 14) – $24,484.20</w:t>
      </w:r>
    </w:p>
    <w:bookmarkEnd w:id="25"/>
    <w:bookmarkStart w:id="26"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 designated</w:t>
      </w:r>
      <w:r>
        <w:t xml:space="preserve"> </w:t>
      </w:r>
      <w:r>
        <w:t xml:space="preserve">Computer Engineer</w:t>
      </w:r>
      <w:r>
        <w:t xml:space="preserve"> </w:t>
      </w:r>
      <w:r>
        <w:t xml:space="preserve">are subject to re-evaluation.</w:t>
      </w:r>
    </w:p>
    <w:p>
      <w:pPr>
        <w:numPr>
          <w:ilvl w:val="0"/>
          <w:numId w:val="1003"/>
        </w:numPr>
        <w:pStyle w:val="Compact"/>
      </w:pPr>
      <w:r>
        <w:t xml:space="preserve">All work will be performed in compliance with applicable federal, state (California), and local regulations governing IT infrastructure, data privacy (including CCPA), and occupational safety within the</w:t>
      </w:r>
      <w:r>
        <w:t xml:space="preserve"> </w:t>
      </w:r>
      <w:r>
        <w:t xml:space="preserve">United States Los Angeles</w:t>
      </w:r>
      <w:r>
        <w:t xml:space="preserve"> </w:t>
      </w:r>
      <w:r>
        <w:t xml:space="preserve">jurisdiction.</w:t>
      </w:r>
    </w:p>
    <w:p>
      <w:pPr>
        <w:numPr>
          <w:ilvl w:val="0"/>
          <w:numId w:val="1003"/>
        </w:numPr>
        <w:pStyle w:val="Compact"/>
      </w:pPr>
      <w:r>
        <w:t xml:space="preserve">The</w:t>
      </w:r>
      <w:r>
        <w:t xml:space="preserve"> </w:t>
      </w:r>
      <w:r>
        <w:t xml:space="preserve">Computer Engineer</w:t>
      </w:r>
      <w:r>
        <w:t xml:space="preserve"> </w:t>
      </w:r>
      <w:r>
        <w:t xml:space="preserve">assigned to this project holds a B.S. in Computer Engineering from the University of Southern California (USC) and possesses over twelve (12) years of professional experience in enterprise systems design and deployment.</w:t>
      </w:r>
    </w:p>
    <w:p>
      <w:pPr>
        <w:numPr>
          <w:ilvl w:val="0"/>
          <w:numId w:val="1003"/>
        </w:numPr>
        <w:pStyle w:val="Compact"/>
      </w:pPr>
      <w:r>
        <w:t xml:space="preserve">Any changes to the scope of work beyond the parameters defined in this document will require a written Change Order signed by both parties before additional work commences. Revised pricing will be provided as a supplemental Quotation Estimate.</w:t>
      </w:r>
    </w:p>
    <w:p>
      <w:pPr>
        <w:numPr>
          <w:ilvl w:val="0"/>
          <w:numId w:val="1003"/>
        </w:numPr>
        <w:pStyle w:val="Compact"/>
      </w:pPr>
      <w:r>
        <w:t xml:space="preserve">Apex Technical Solutions, Inc. shall maintain professional liability insurance with a minimum coverage of $2,000,000 per occurrence throughout the duration of the engagement.</w:t>
      </w:r>
    </w:p>
    <w:p>
      <w:pPr>
        <w:numPr>
          <w:ilvl w:val="0"/>
          <w:numId w:val="1003"/>
        </w:numPr>
        <w:pStyle w:val="Compact"/>
      </w:pPr>
      <w:r>
        <w:t xml:space="preserve">Intellectual property developed specifically for the client under this engagement shall transfer to the client upon full payment. Pre-existing tools, methodologies, and proprietary frameworks remain the property of Apex Technical Solutions, Inc.</w:t>
      </w:r>
    </w:p>
    <w:p>
      <w:pPr>
        <w:numPr>
          <w:ilvl w:val="0"/>
          <w:numId w:val="1003"/>
        </w:numPr>
        <w:pStyle w:val="Compact"/>
      </w:pPr>
      <w:r>
        <w:t xml:space="preserve">This Quotation Estimate does not constitute a binding contract until countersigned by both parties. The definitive Master Services Agreement (MSA) will govern all ongoing operational terms.</w:t>
      </w:r>
    </w:p>
    <w:p>
      <w:pPr>
        <w:numPr>
          <w:ilvl w:val="0"/>
          <w:numId w:val="1003"/>
        </w:numPr>
        <w:pStyle w:val="Compact"/>
      </w:pPr>
      <w:r>
        <w:t xml:space="preserve">All on-site work at the Los Angeles facility will be conducted during standard business hours (Monday through Friday, 8:00 AM to 6:00 PM Pacific Time) unless otherwise agreed in writing.</w:t>
      </w:r>
    </w:p>
    <w:p>
      <w:pPr>
        <w:numPr>
          <w:ilvl w:val="0"/>
          <w:numId w:val="1003"/>
        </w:numPr>
        <w:pStyle w:val="Compact"/>
      </w:pPr>
      <w:r>
        <w:t xml:space="preserve">Force majeure events, including but not limited to natural disasters affecting the Los Angeles area, may result in schedule adjustments. Both parties agree to negotiate in good faith to minimize project delays.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Technical Solutions, Inc. to proceed with the engagement of the</w:t>
      </w:r>
      <w:r>
        <w:t xml:space="preserve"> </w:t>
      </w:r>
      <w:r>
        <w:t xml:space="preserve">Computer Engineer</w:t>
      </w:r>
      <w:r>
        <w:t xml:space="preserve"> </w:t>
      </w:r>
      <w:r>
        <w:t xml:space="preserve">and associated services as described herein for the project located in</w:t>
      </w:r>
      <w:r>
        <w:t xml:space="preserve"> </w:t>
      </w:r>
      <w:r>
        <w:t xml:space="preserve">United States Los Angeles</w:t>
      </w:r>
      <w:r>
        <w:t xml:space="preserve">.</w:t>
      </w:r>
    </w:p>
    <w:p>
      <w:pPr>
        <w:pStyle w:val="BodyText"/>
      </w:pPr>
      <w:r>
        <w:rPr>
          <w:bCs/>
          <w:b/>
        </w:rPr>
        <w:t xml:space="preserve">For Apex Technical Solutions, Inc.</w:t>
      </w:r>
      <w:r>
        <w:br/>
      </w:r>
      <w:r>
        <w:br/>
      </w:r>
      <w:r>
        <w:t xml:space="preserve">______________________________</w:t>
      </w:r>
      <w:r>
        <w:br/>
      </w:r>
      <w:r>
        <w:t xml:space="preserve">Name: Sarah Mitchell, P.E.</w:t>
      </w:r>
      <w:r>
        <w:br/>
      </w:r>
      <w:r>
        <w:t xml:space="preserve">Title: Principal Engineer &amp; Director of Operations</w:t>
      </w:r>
      <w:r>
        <w:br/>
      </w:r>
      <w:r>
        <w:t xml:space="preserve">Date: _______________</w:t>
      </w:r>
    </w:p>
    <w:p>
      <w:pPr>
        <w:pStyle w:val="BodyText"/>
      </w:pPr>
      <w:r>
        <w:rPr>
          <w:bCs/>
          <w:b/>
        </w:rPr>
        <w:t xml:space="preserve">For Pacific Crest Development Group LLC</w:t>
      </w:r>
      <w:r>
        <w:br/>
      </w:r>
      <w:r>
        <w:br/>
      </w:r>
      <w:r>
        <w:t xml:space="preserve">______________________________</w:t>
      </w:r>
      <w:r>
        <w:br/>
      </w:r>
      <w:r>
        <w:t xml:space="preserve">Name: David Chen</w:t>
      </w:r>
      <w:r>
        <w:br/>
      </w:r>
      <w:r>
        <w:t xml:space="preserve">Title: Vice President of Operations</w:t>
      </w:r>
      <w:r>
        <w:br/>
      </w:r>
      <w:r>
        <w:t xml:space="preserve">Date: _______________</w:t>
      </w:r>
    </w:p>
    <w:p>
      <w:pPr>
        <w:pStyle w:val="BodyText"/>
      </w:pPr>
      <w:r>
        <w:t xml:space="preserve">Apex Technical Solutions, Inc.  |  1200 Wilshire Blvd, Suite 4500, Los Angeles, CA 90017  |  (213) 555-0187  |  estimates@apextechnicalsolutions.com</w:t>
      </w:r>
    </w:p>
    <w:p>
      <w:pPr>
        <w:pStyle w:val="BodyText"/>
      </w:pPr>
      <w:r>
        <w:t xml:space="preserve">Quotation No. QTE-2025-LA-0472  |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States Los Angeles</dc:title>
  <dc:creator/>
  <dc:language>en</dc:language>
  <cp:keywords/>
  <dcterms:created xsi:type="dcterms:W3CDTF">2026-10-10T06:58:38Z</dcterms:created>
  <dcterms:modified xsi:type="dcterms:W3CDTF">2026-10-10T06:58:38Z</dcterms:modified>
</cp:coreProperties>
</file>

<file path=docProps/custom.xml><?xml version="1.0" encoding="utf-8"?>
<Properties xmlns="http://schemas.openxmlformats.org/officeDocument/2006/custom-properties" xmlns:vt="http://schemas.openxmlformats.org/officeDocument/2006/docPropsVTypes"/>
</file>