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EduCurriculum Brasil Ltda.</w:t>
      </w:r>
    </w:p>
    <w:p>
      <w:pPr>
        <w:pStyle w:val="BodyText"/>
      </w:pPr>
      <w:r>
        <w:t xml:space="preserve">Av. Paulista, 1578 – Bela Vista, São Paulo – SP, CEP 01310-300, Brazil</w:t>
      </w:r>
    </w:p>
    <w:p>
      <w:pPr>
        <w:pStyle w:val="BodyText"/>
      </w:pPr>
      <w:r>
        <w:t xml:space="preserve">CNPJ: 12.345.678/0001-90 | Tel: +55 (11) 3456-7890 | Email: quotations@educurriculumbrazil.com.br</w:t>
      </w:r>
    </w:p>
    <w:p>
      <w:pPr>
        <w:pStyle w:val="BodyText"/>
      </w:pPr>
      <w:r>
        <w:t xml:space="preserve">Quotation Estimate No. QE-2025-0847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(until 15 July 2025)</w:t>
            </w:r>
          </w:p>
        </w:tc>
      </w:tr>
      <w:tr>
        <w:tc>
          <w:tcPr/>
          <w:p>
            <w:pPr>
              <w:pStyle w:val="Compact"/>
              <w:jc w:val="left"/>
            </w:pPr>
            <w:r>
              <w:t xml:space="preserve">Prepared For:</w:t>
            </w:r>
          </w:p>
        </w:tc>
        <w:tc>
          <w:tcPr/>
          <w:p>
            <w:pPr>
              <w:pStyle w:val="Compact"/>
              <w:jc w:val="left"/>
            </w:pPr>
            <w:r>
              <w:t xml:space="preserve">Instituto de Ensino Superior de São Paulo (IES-SP)</w:t>
            </w:r>
          </w:p>
        </w:tc>
        <w:tc>
          <w:tcPr/>
          <w:p>
            <w:pPr>
              <w:pStyle w:val="Compact"/>
              <w:jc w:val="left"/>
            </w:pPr>
            <w:r>
              <w:t xml:space="preserve">Reference No.:</w:t>
            </w:r>
          </w:p>
        </w:tc>
        <w:tc>
          <w:tcPr/>
          <w:p>
            <w:pPr>
              <w:pStyle w:val="Compact"/>
              <w:jc w:val="left"/>
            </w:pPr>
            <w:r>
              <w:t xml:space="preserve">IES-SP/PROC/2025/0231</w:t>
            </w:r>
          </w:p>
        </w:tc>
      </w:tr>
      <w:tr>
        <w:tc>
          <w:tcPr/>
          <w:p>
            <w:pPr>
              <w:pStyle w:val="Compact"/>
              <w:jc w:val="left"/>
            </w:pPr>
            <w:r>
              <w:t xml:space="preserve">Client Address:</w:t>
            </w:r>
          </w:p>
        </w:tc>
        <w:tc>
          <w:tcPr/>
          <w:p>
            <w:pPr>
              <w:pStyle w:val="Compact"/>
              <w:jc w:val="left"/>
            </w:pPr>
            <w:r>
              <w:t xml:space="preserve">Rua Augusta, 2200 – Consolação, São Paulo – SP, CEP 01304-001, Brazil</w:t>
            </w:r>
          </w:p>
        </w:tc>
        <w:tc>
          <w:tcPr/>
          <w:p>
            <w:pPr>
              <w:pStyle w:val="Compact"/>
              <w:jc w:val="left"/>
            </w:pPr>
            <w:r>
              <w:t xml:space="preserve">Contact Person:</w:t>
            </w:r>
          </w:p>
        </w:tc>
        <w:tc>
          <w:tcPr/>
          <w:p>
            <w:pPr>
              <w:pStyle w:val="Compact"/>
              <w:jc w:val="left"/>
            </w:pPr>
            <w:r>
              <w:t xml:space="preserve">Dr. Helena Martins, Academic Director</w:t>
            </w:r>
          </w:p>
        </w:tc>
      </w:tr>
      <w:tr>
        <w:tc>
          <w:tcPr/>
          <w:p>
            <w:pPr>
              <w:pStyle w:val="Compact"/>
              <w:jc w:val="left"/>
            </w:pPr>
            <w:r>
              <w:t xml:space="preserve">Service Category:</w:t>
            </w:r>
          </w:p>
        </w:tc>
        <w:tc>
          <w:tcPr>
            <w:gridSpan w:val="3"/>
          </w:tcPr>
          <w:p>
            <w:pPr>
              <w:pStyle w:val="Compact"/>
              <w:jc w:val="left"/>
            </w:pPr>
            <w:r>
              <w:rPr>
                <w:bCs/>
                <w:b/>
              </w:rPr>
              <w:t xml:space="preserve">Curriculum Developer</w:t>
            </w:r>
            <w:r>
              <w:t xml:space="preserve"> </w:t>
            </w:r>
            <w:r>
              <w:t xml:space="preserve">– Professional Educational Design &amp; Development Services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EduCurriculum Brasil Ltda. to provide Instituto de Ensino Superior de São Paulo (IES-SP) with a comprehensive and itemized financial proposal for the engagement of a specialized</w:t>
      </w:r>
      <w:r>
        <w:t xml:space="preserve"> </w:t>
      </w:r>
      <w:r>
        <w:t xml:space="preserve">Curriculum Developer</w:t>
      </w:r>
      <w:r>
        <w:t xml:space="preserve"> </w:t>
      </w:r>
      <w:r>
        <w:t xml:space="preserve">professional. The services described herein are tailored to the academic, regulatory, and pedagogical requirements of higher education institutions operating in</w:t>
      </w:r>
      <w:r>
        <w:t xml:space="preserve"> </w:t>
      </w:r>
      <w:r>
        <w:t xml:space="preserve">Brazil São Paulo</w:t>
      </w:r>
      <w:r>
        <w:t xml:space="preserve">, in full compliance with the National Council of Education (CNE) directives, the Ministry of Education (MEC) standards, and the specific accreditation requirements of the São Paulo State Education Board (CETESB).</w:t>
      </w:r>
    </w:p>
    <w:p>
      <w:pPr>
        <w:pStyle w:val="BodyText"/>
      </w:pPr>
      <w:r>
        <w:t xml:space="preserve">The</w:t>
      </w:r>
      <w:r>
        <w:t xml:space="preserve"> </w:t>
      </w:r>
      <w:r>
        <w:t xml:space="preserve">Curriculum Developer</w:t>
      </w:r>
      <w:r>
        <w:t xml:space="preserve"> </w:t>
      </w:r>
      <w:r>
        <w:t xml:space="preserve">engagement outlined in this document encompasses the full lifecycle of curriculum design, including needs assessment, learning outcome formulation, course sequencing, assessment strategy development, and alignment with the Brazilian National Common Curricular Base (BNCC) where applicable to the institution's programs.</w:t>
      </w:r>
    </w:p>
    <w:bookmarkEnd w:id="21"/>
    <w:bookmarkStart w:id="22" w:name="X9a0da295572e1cb799c4d0c15a0465470538eb7"/>
    <w:p>
      <w:pPr>
        <w:pStyle w:val="Heading2"/>
      </w:pPr>
      <w:r>
        <w:t xml:space="preserve">2. 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shall perform the following activities within the operational context of</w:t>
      </w:r>
      <w:r>
        <w:t xml:space="preserve"> </w:t>
      </w:r>
      <w:r>
        <w:t xml:space="preserve">Brazil São Paulo</w:t>
      </w:r>
      <w:r>
        <w:t xml:space="preserve">:</w:t>
      </w:r>
    </w:p>
    <w:p>
      <w:pPr>
        <w:numPr>
          <w:ilvl w:val="0"/>
          <w:numId w:val="1001"/>
        </w:numPr>
        <w:pStyle w:val="Compact"/>
      </w:pPr>
      <w:r>
        <w:rPr>
          <w:bCs/>
          <w:b/>
        </w:rPr>
        <w:t xml:space="preserve">Curriculum Needs Analysis:</w:t>
      </w:r>
      <w:r>
        <w:t xml:space="preserve"> </w:t>
      </w:r>
      <w:r>
        <w:t xml:space="preserve">Conduct a comprehensive diagnostic review of the existing academic programs at IES-SP, benchmarking against current MEC resolution requirements and peer institutions in the São Paulo metropolitan region.</w:t>
      </w:r>
    </w:p>
    <w:p>
      <w:pPr>
        <w:numPr>
          <w:ilvl w:val="0"/>
          <w:numId w:val="1001"/>
        </w:numPr>
        <w:pStyle w:val="Compact"/>
      </w:pPr>
      <w:r>
        <w:rPr>
          <w:bCs/>
          <w:b/>
        </w:rPr>
        <w:t xml:space="preserve">Learning Outcome Architecture:</w:t>
      </w:r>
      <w:r>
        <w:t xml:space="preserve"> </w:t>
      </w:r>
      <w:r>
        <w:t xml:space="preserve">Design and document program-level and course-level learning outcomes aligned with the CNE/CP 01/2018 resolution and institutional mission statements.</w:t>
      </w:r>
    </w:p>
    <w:p>
      <w:pPr>
        <w:numPr>
          <w:ilvl w:val="0"/>
          <w:numId w:val="1001"/>
        </w:numPr>
        <w:pStyle w:val="Compact"/>
      </w:pPr>
      <w:r>
        <w:rPr>
          <w:bCs/>
          <w:b/>
        </w:rPr>
        <w:t xml:space="preserve">Course Structure &amp; Sequencing:</w:t>
      </w:r>
      <w:r>
        <w:t xml:space="preserve"> </w:t>
      </w:r>
      <w:r>
        <w:t xml:space="preserve">Develop detailed course matrices, prerequisite mappings, and credit-hour distributions compliant with the 180-credit minimum for undergraduate programs as mandated by Brazilian federal law.</w:t>
      </w:r>
    </w:p>
    <w:p>
      <w:pPr>
        <w:numPr>
          <w:ilvl w:val="0"/>
          <w:numId w:val="1001"/>
        </w:numPr>
        <w:pStyle w:val="Compact"/>
      </w:pPr>
      <w:r>
        <w:rPr>
          <w:bCs/>
          <w:b/>
        </w:rPr>
        <w:t xml:space="preserve">Pedagogical Methodology Integration:</w:t>
      </w:r>
      <w:r>
        <w:t xml:space="preserve"> </w:t>
      </w:r>
      <w:r>
        <w:t xml:space="preserve">Incorporate active learning strategies, project-based learning frameworks, and competency-based assessment models appropriate for the São Paulo academic ecosystem.</w:t>
      </w:r>
    </w:p>
    <w:p>
      <w:pPr>
        <w:numPr>
          <w:ilvl w:val="0"/>
          <w:numId w:val="1001"/>
        </w:numPr>
        <w:pStyle w:val="Compact"/>
      </w:pPr>
      <w:r>
        <w:rPr>
          <w:bCs/>
          <w:b/>
        </w:rPr>
        <w:t xml:space="preserve">Assessment &amp; Evaluation Framework:</w:t>
      </w:r>
      <w:r>
        <w:t xml:space="preserve"> </w:t>
      </w:r>
      <w:r>
        <w:t xml:space="preserve">Design formative and summative assessment instruments, rubrics, and continuous evaluation protocols in accordance with CETESB inspection criteria.</w:t>
      </w:r>
    </w:p>
    <w:p>
      <w:pPr>
        <w:numPr>
          <w:ilvl w:val="0"/>
          <w:numId w:val="1001"/>
        </w:numPr>
        <w:pStyle w:val="Compact"/>
      </w:pPr>
      <w:r>
        <w:rPr>
          <w:bCs/>
          <w:b/>
        </w:rPr>
        <w:t xml:space="preserve">Regulatory Compliance Documentation:</w:t>
      </w:r>
      <w:r>
        <w:t xml:space="preserve"> </w:t>
      </w:r>
      <w:r>
        <w:t xml:space="preserve">Prepare all necessary documentation for submission to MEC and CETESB, ensuring the curriculum meets all legal and regulatory standards specific to institutions in the state of São Paulo, Brazil.</w:t>
      </w:r>
    </w:p>
    <w:p>
      <w:pPr>
        <w:numPr>
          <w:ilvl w:val="0"/>
          <w:numId w:val="1001"/>
        </w:numPr>
        <w:pStyle w:val="Compact"/>
      </w:pPr>
      <w:r>
        <w:rPr>
          <w:bCs/>
          <w:b/>
        </w:rPr>
        <w:t xml:space="preserve">Faculty Training &amp; Onboarding:</w:t>
      </w:r>
      <w:r>
        <w:t xml:space="preserve"> </w:t>
      </w:r>
      <w:r>
        <w:t xml:space="preserve">Deliver a minimum of four (4) in-person training workshops for IES-SP faculty members on the implementation of the newly developed curriculum.</w:t>
      </w:r>
    </w:p>
    <w:p>
      <w:pPr>
        <w:numPr>
          <w:ilvl w:val="0"/>
          <w:numId w:val="1001"/>
        </w:numPr>
        <w:pStyle w:val="Compact"/>
      </w:pPr>
      <w:r>
        <w:rPr>
          <w:bCs/>
          <w:b/>
        </w:rPr>
        <w:t xml:space="preserve">Iterative Review &amp; Revision:</w:t>
      </w:r>
      <w:r>
        <w:t xml:space="preserve"> </w:t>
      </w:r>
      <w:r>
        <w:t xml:space="preserve">Provide two (2) full revision cycles based on feedback from IES-SP's academic council and external reviewers.</w:t>
      </w:r>
    </w:p>
    <w:bookmarkEnd w:id="22"/>
    <w:bookmarkStart w:id="23" w:name="detailed-pricing-breakdown"/>
    <w:p>
      <w:pPr>
        <w:pStyle w:val="Heading2"/>
      </w:pPr>
      <w:r>
        <w:t xml:space="preserve">3. Detailed Pricing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All prices are quoted in Brazilian Reais (BRL – R$) and include applicable taxes as per São Paulo state and federal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Curriculum Needs Analysis &amp; Diagnostic Report</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3 weeks</w:t>
            </w:r>
          </w:p>
        </w:tc>
      </w:tr>
      <w:tr>
        <w:tc>
          <w:tcPr/>
          <w:p>
            <w:pPr>
              <w:pStyle w:val="Compact"/>
              <w:jc w:val="left"/>
            </w:pPr>
            <w:r>
              <w:t xml:space="preserve">02</w:t>
            </w:r>
          </w:p>
        </w:tc>
        <w:tc>
          <w:tcPr/>
          <w:p>
            <w:pPr>
              <w:pStyle w:val="Compact"/>
              <w:jc w:val="left"/>
            </w:pPr>
            <w:r>
              <w:t xml:space="preserve">Learning Outcome Architecture &amp; Course Matrix Design</w:t>
            </w:r>
          </w:p>
        </w:tc>
        <w:tc>
          <w:tcPr/>
          <w:p>
            <w:pPr>
              <w:pStyle w:val="Compact"/>
              <w:jc w:val="left"/>
            </w:pPr>
            <w:r>
              <w:t xml:space="preserve">3 programs</w:t>
            </w:r>
          </w:p>
        </w:tc>
        <w:tc>
          <w:tcPr/>
          <w:p>
            <w:pPr>
              <w:pStyle w:val="Compact"/>
              <w:jc w:val="left"/>
            </w:pPr>
            <w:r>
              <w:t xml:space="preserve">R$ 24,000.00</w:t>
            </w:r>
          </w:p>
        </w:tc>
        <w:tc>
          <w:tcPr/>
          <w:p>
            <w:pPr>
              <w:pStyle w:val="Compact"/>
              <w:jc w:val="left"/>
            </w:pPr>
            <w:r>
              <w:t xml:space="preserve">R$ 72,000.00</w:t>
            </w:r>
          </w:p>
        </w:tc>
        <w:tc>
          <w:tcPr/>
          <w:p>
            <w:pPr>
              <w:pStyle w:val="Compact"/>
              <w:jc w:val="left"/>
            </w:pPr>
            <w:r>
              <w:t xml:space="preserve">6 weeks</w:t>
            </w:r>
          </w:p>
        </w:tc>
      </w:tr>
      <w:tr>
        <w:tc>
          <w:tcPr/>
          <w:p>
            <w:pPr>
              <w:pStyle w:val="Compact"/>
              <w:jc w:val="left"/>
            </w:pPr>
            <w:r>
              <w:t xml:space="preserve">03</w:t>
            </w:r>
          </w:p>
        </w:tc>
        <w:tc>
          <w:tcPr/>
          <w:p>
            <w:pPr>
              <w:pStyle w:val="Compact"/>
              <w:jc w:val="left"/>
            </w:pPr>
            <w:r>
              <w:t xml:space="preserve">Pedagogical Methodology &amp; Assessment Framework Development</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5 weeks</w:t>
            </w:r>
          </w:p>
        </w:tc>
      </w:tr>
      <w:tr>
        <w:tc>
          <w:tcPr/>
          <w:p>
            <w:pPr>
              <w:pStyle w:val="Compact"/>
              <w:jc w:val="left"/>
            </w:pPr>
            <w:r>
              <w:t xml:space="preserve">04</w:t>
            </w:r>
          </w:p>
        </w:tc>
        <w:tc>
          <w:tcPr/>
          <w:p>
            <w:pPr>
              <w:pStyle w:val="Compact"/>
              <w:jc w:val="left"/>
            </w:pPr>
            <w:r>
              <w:t xml:space="preserve">Regulatory Compliance Documentation (MEC / CETESB)</w:t>
            </w:r>
          </w:p>
        </w:tc>
        <w:tc>
          <w:tcPr/>
          <w:p>
            <w:pPr>
              <w:pStyle w:val="Compact"/>
              <w:jc w:val="left"/>
            </w:pPr>
            <w:r>
              <w:t xml:space="preserve">1</w:t>
            </w:r>
          </w:p>
        </w:tc>
        <w:tc>
          <w:tcPr/>
          <w:p>
            <w:pPr>
              <w:pStyle w:val="Compact"/>
              <w:jc w:val="left"/>
            </w:pPr>
            <w:r>
              <w:t xml:space="preserve">R$ 15,800.00</w:t>
            </w:r>
          </w:p>
        </w:tc>
        <w:tc>
          <w:tcPr/>
          <w:p>
            <w:pPr>
              <w:pStyle w:val="Compact"/>
              <w:jc w:val="left"/>
            </w:pPr>
            <w:r>
              <w:t xml:space="preserve">R$ 15,800.00</w:t>
            </w:r>
          </w:p>
        </w:tc>
        <w:tc>
          <w:tcPr/>
          <w:p>
            <w:pPr>
              <w:pStyle w:val="Compact"/>
              <w:jc w:val="left"/>
            </w:pPr>
            <w:r>
              <w:t xml:space="preserve">3 weeks</w:t>
            </w:r>
          </w:p>
        </w:tc>
      </w:tr>
      <w:tr>
        <w:tc>
          <w:tcPr/>
          <w:p>
            <w:pPr>
              <w:pStyle w:val="Compact"/>
              <w:jc w:val="left"/>
            </w:pPr>
            <w:r>
              <w:t xml:space="preserve">05</w:t>
            </w:r>
          </w:p>
        </w:tc>
        <w:tc>
          <w:tcPr/>
          <w:p>
            <w:pPr>
              <w:pStyle w:val="Compact"/>
              <w:jc w:val="left"/>
            </w:pPr>
            <w:r>
              <w:t xml:space="preserve">Faculty Training Workshops (in-person, São Paulo)</w:t>
            </w:r>
          </w:p>
        </w:tc>
        <w:tc>
          <w:tcPr/>
          <w:p>
            <w:pPr>
              <w:pStyle w:val="Compact"/>
              <w:jc w:val="left"/>
            </w:pPr>
            <w:r>
              <w:t xml:space="preserve">4 sessions</w:t>
            </w:r>
          </w:p>
        </w:tc>
        <w:tc>
          <w:tcPr/>
          <w:p>
            <w:pPr>
              <w:pStyle w:val="Compact"/>
              <w:jc w:val="left"/>
            </w:pPr>
            <w:r>
              <w:t xml:space="preserve">R$ 6,500.00</w:t>
            </w:r>
          </w:p>
        </w:tc>
        <w:tc>
          <w:tcPr/>
          <w:p>
            <w:pPr>
              <w:pStyle w:val="Compact"/>
              <w:jc w:val="left"/>
            </w:pPr>
            <w:r>
              <w:t xml:space="preserve">R$ 26,000.00</w:t>
            </w:r>
          </w:p>
        </w:tc>
        <w:tc>
          <w:tcPr/>
          <w:p>
            <w:pPr>
              <w:pStyle w:val="Compact"/>
              <w:jc w:val="left"/>
            </w:pPr>
            <w:r>
              <w:t xml:space="preserve">4 weeks</w:t>
            </w:r>
          </w:p>
        </w:tc>
      </w:tr>
      <w:tr>
        <w:tc>
          <w:tcPr/>
          <w:p>
            <w:pPr>
              <w:pStyle w:val="Compact"/>
              <w:jc w:val="left"/>
            </w:pPr>
            <w:r>
              <w:t xml:space="preserve">06</w:t>
            </w:r>
          </w:p>
        </w:tc>
        <w:tc>
          <w:tcPr/>
          <w:p>
            <w:pPr>
              <w:pStyle w:val="Compact"/>
              <w:jc w:val="left"/>
            </w:pPr>
            <w:r>
              <w:t xml:space="preserve">Iterative Review, Revision &amp; Final Delivery</w:t>
            </w:r>
          </w:p>
        </w:tc>
        <w:tc>
          <w:tcPr/>
          <w:p>
            <w:pPr>
              <w:pStyle w:val="Compact"/>
              <w:jc w:val="left"/>
            </w:pPr>
            <w:r>
              <w:t xml:space="preserve">2 cycles</w:t>
            </w:r>
          </w:p>
        </w:tc>
        <w:tc>
          <w:tcPr/>
          <w:p>
            <w:pPr>
              <w:pStyle w:val="Compact"/>
              <w:jc w:val="left"/>
            </w:pPr>
            <w:r>
              <w:t xml:space="preserve">R$ 12,000.00</w:t>
            </w:r>
          </w:p>
        </w:tc>
        <w:tc>
          <w:tcPr/>
          <w:p>
            <w:pPr>
              <w:pStyle w:val="Compact"/>
              <w:jc w:val="left"/>
            </w:pPr>
            <w:r>
              <w:t xml:space="preserve">R$ 24,000.00</w:t>
            </w:r>
          </w:p>
        </w:tc>
        <w:tc>
          <w:tcPr/>
          <w:p>
            <w:pPr>
              <w:pStyle w:val="Compact"/>
              <w:jc w:val="left"/>
            </w:pPr>
            <w:r>
              <w:t xml:space="preserve">4 weeks</w:t>
            </w:r>
          </w:p>
        </w:tc>
      </w:tr>
      <w:tr>
        <w:tc>
          <w:tcPr/>
          <w:p>
            <w:pPr>
              <w:pStyle w:val="Compact"/>
              <w:jc w:val="left"/>
            </w:pPr>
            <w:r>
              <w:t xml:space="preserve">07</w:t>
            </w:r>
          </w:p>
        </w:tc>
        <w:tc>
          <w:tcPr/>
          <w:p>
            <w:pPr>
              <w:pStyle w:val="Compact"/>
              <w:jc w:val="left"/>
            </w:pPr>
            <w:r>
              <w:t xml:space="preserve">Project Management &amp; Coordination (dedicated)</w:t>
            </w:r>
          </w:p>
        </w:tc>
        <w:tc>
          <w:tcPr/>
          <w:p>
            <w:pPr>
              <w:pStyle w:val="Compact"/>
              <w:jc w:val="left"/>
            </w:pPr>
            <w:r>
              <w:t xml:space="preserve">1</w:t>
            </w:r>
          </w:p>
        </w:tc>
        <w:tc>
          <w:tcPr/>
          <w:p>
            <w:pPr>
              <w:pStyle w:val="Compact"/>
              <w:jc w:val="left"/>
            </w:pPr>
            <w:r>
              <w:t xml:space="preserve">R$ 14,200.00</w:t>
            </w:r>
          </w:p>
        </w:tc>
        <w:tc>
          <w:tcPr/>
          <w:p>
            <w:pPr>
              <w:pStyle w:val="Compact"/>
              <w:jc w:val="left"/>
            </w:pPr>
            <w:r>
              <w:t xml:space="preserve">R$ 14,200.00</w:t>
            </w:r>
          </w:p>
        </w:tc>
        <w:tc>
          <w:tcPr/>
          <w:p>
            <w:pPr>
              <w:pStyle w:val="Compact"/>
              <w:jc w:val="left"/>
            </w:pPr>
            <w:r>
              <w:t xml:space="preserve">Full term</w:t>
            </w:r>
          </w:p>
        </w:tc>
      </w:tr>
      <w:tr>
        <w:tc>
          <w:tcPr>
            <w:gridSpan w:val="4"/>
          </w:tcPr>
          <w:p>
            <w:pPr>
              <w:pStyle w:val="Compact"/>
              <w:jc w:val="right"/>
            </w:pPr>
            <w:r>
              <w:t xml:space="preserve">Subtotal (BRL):</w:t>
            </w:r>
          </w:p>
        </w:tc>
        <w:tc>
          <w:tcPr/>
          <w:p>
            <w:pPr>
              <w:pStyle w:val="Compact"/>
              <w:jc w:val="left"/>
            </w:pPr>
            <w:r>
              <w:t xml:space="preserve">R$ 202,500.00</w:t>
            </w:r>
          </w:p>
        </w:tc>
        <w:tc>
          <w:tcPr/>
          <w:p>
            <w:pPr>
              <w:pStyle w:val="Compact"/>
            </w:pPr>
          </w:p>
        </w:tc>
      </w:tr>
      <w:tr>
        <w:tc>
          <w:tcPr>
            <w:gridSpan w:val="4"/>
          </w:tcPr>
          <w:p>
            <w:pPr>
              <w:pStyle w:val="Compact"/>
              <w:jc w:val="right"/>
            </w:pPr>
            <w:r>
              <w:t xml:space="preserve">ICMS / ISS (São Paulo – 5%):</w:t>
            </w:r>
          </w:p>
        </w:tc>
        <w:tc>
          <w:tcPr/>
          <w:p>
            <w:pPr>
              <w:pStyle w:val="Compact"/>
              <w:jc w:val="left"/>
            </w:pPr>
            <w:r>
              <w:t xml:space="preserve">R$ 10,125.00</w:t>
            </w:r>
          </w:p>
        </w:tc>
        <w:tc>
          <w:tcPr/>
          <w:p>
            <w:pPr>
              <w:pStyle w:val="Compact"/>
            </w:pPr>
          </w:p>
        </w:tc>
      </w:tr>
      <w:tr>
        <w:tc>
          <w:tcPr>
            <w:gridSpan w:val="4"/>
          </w:tcPr>
          <w:p>
            <w:pPr>
              <w:pStyle w:val="Compact"/>
              <w:jc w:val="right"/>
            </w:pPr>
            <w:r>
              <w:rPr>
                <w:bCs/>
                <w:b/>
              </w:rPr>
              <w:t xml:space="preserve">TOTAL ESTIMATED COST (BRL):</w:t>
            </w:r>
          </w:p>
        </w:tc>
        <w:tc>
          <w:tcPr/>
          <w:p>
            <w:pPr>
              <w:pStyle w:val="Compact"/>
              <w:jc w:val="left"/>
            </w:pPr>
            <w:r>
              <w:rPr>
                <w:bCs/>
                <w:b/>
              </w:rPr>
              <w:t xml:space="preserve">R$ 212,625.00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(R$ 63,787.50) upon contract signing and project kickoff.</w:t>
      </w:r>
    </w:p>
    <w:p>
      <w:pPr>
        <w:numPr>
          <w:ilvl w:val="0"/>
          <w:numId w:val="1002"/>
        </w:numPr>
        <w:pStyle w:val="Compact"/>
      </w:pPr>
      <w:r>
        <w:rPr>
          <w:bCs/>
          <w:b/>
        </w:rPr>
        <w:t xml:space="preserve">40% milestone payment</w:t>
      </w:r>
      <w:r>
        <w:t xml:space="preserve"> </w:t>
      </w:r>
      <w:r>
        <w:t xml:space="preserve">(R$ 85,050.00) upon delivery of the complete curriculum design package and regulatory documentation.</w:t>
      </w:r>
    </w:p>
    <w:p>
      <w:pPr>
        <w:numPr>
          <w:ilvl w:val="0"/>
          <w:numId w:val="1002"/>
        </w:numPr>
        <w:pStyle w:val="Compact"/>
      </w:pPr>
      <w:r>
        <w:rPr>
          <w:bCs/>
          <w:b/>
        </w:rPr>
        <w:t xml:space="preserve">30% final payment</w:t>
      </w:r>
      <w:r>
        <w:t xml:space="preserve"> </w:t>
      </w:r>
      <w:r>
        <w:t xml:space="preserve">(R$ 63,787.50) upon completion of faculty training, final revisions, and formal acceptance by IES-SP's academic council.</w:t>
      </w:r>
    </w:p>
    <w:p>
      <w:pPr>
        <w:pStyle w:val="FirstParagraph"/>
      </w:pPr>
      <w:r>
        <w:t xml:space="preserve">All payments shall be made via bank transfer (TED/PIX) to the account of EduCurriculum Brasil Ltda., Banco do Brasil, Ag. 1234-5, Conta Corrente 67890-1, in the city of São Paulo, Brazil. Invoices (Notas Fiscais) shall be issued in accordance with Brazilian tax legislation.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and availability of the</w:t>
      </w:r>
      <w:r>
        <w:t xml:space="preserve"> </w:t>
      </w:r>
      <w:r>
        <w:t xml:space="preserve">Curriculum Developer</w:t>
      </w:r>
      <w:r>
        <w:t xml:space="preserve"> </w:t>
      </w:r>
      <w:r>
        <w:t xml:space="preserve">professional may be subject to revision.</w:t>
      </w:r>
    </w:p>
    <w:p>
      <w:pPr>
        <w:pStyle w:val="BodyText"/>
      </w:pPr>
      <w:r>
        <w:rPr>
          <w:bCs/>
          <w:b/>
        </w:rPr>
        <w:t xml:space="preserve">5.2</w:t>
      </w:r>
      <w:r>
        <w:t xml:space="preserve"> </w:t>
      </w:r>
      <w:r>
        <w:t xml:space="preserve">The</w:t>
      </w:r>
      <w:r>
        <w:t xml:space="preserve"> </w:t>
      </w:r>
      <w:r>
        <w:t xml:space="preserve">Curriculum Developer</w:t>
      </w:r>
      <w:r>
        <w:t xml:space="preserve"> </w:t>
      </w:r>
      <w:r>
        <w:t xml:space="preserve">shall maintain full confidentiality regarding all institutional data, student records, and proprietary academic materials of IES-SP, in compliance with the Brazilian General Data Protection Law (LGPD – Lei Geral de Proteção de Dados, Lei nº 13.709/2018).</w:t>
      </w:r>
    </w:p>
    <w:p>
      <w:pPr>
        <w:pStyle w:val="BodyText"/>
      </w:pPr>
      <w:r>
        <w:rPr>
          <w:bCs/>
          <w:b/>
        </w:rPr>
        <w:t xml:space="preserve">5.3</w:t>
      </w:r>
      <w:r>
        <w:t xml:space="preserve"> </w:t>
      </w:r>
      <w:r>
        <w:t xml:space="preserve">All deliverables produced under this engagement shall be the exclusive intellectual property of IES-SP upon full payment. The</w:t>
      </w:r>
      <w:r>
        <w:t xml:space="preserve"> </w:t>
      </w:r>
      <w:r>
        <w:t xml:space="preserve">Curriculum Developer</w:t>
      </w:r>
      <w:r>
        <w:t xml:space="preserve"> </w:t>
      </w:r>
      <w:r>
        <w:t xml:space="preserve">retains the right to reference the project in professional portfolios with prior written consent from the client.</w:t>
      </w:r>
    </w:p>
    <w:p>
      <w:pPr>
        <w:pStyle w:val="BodyText"/>
      </w:pPr>
      <w:r>
        <w:rPr>
          <w:bCs/>
          <w:b/>
        </w:rPr>
        <w:t xml:space="preserve">5.4</w:t>
      </w:r>
      <w:r>
        <w:t xml:space="preserve"> </w:t>
      </w:r>
      <w:r>
        <w:t xml:space="preserve">Any changes to the scope of work beyond what is described in this</w:t>
      </w:r>
      <w:r>
        <w:t xml:space="preserve"> </w:t>
      </w:r>
      <w:r>
        <w:t xml:space="preserve">Quotation Estimate</w:t>
      </w:r>
      <w:r>
        <w:t xml:space="preserve"> </w:t>
      </w:r>
      <w:r>
        <w:t xml:space="preserve">shall require a formal change order signed by both parties, with corresponding adjustments to cost and timeline.</w:t>
      </w:r>
    </w:p>
    <w:p>
      <w:pPr>
        <w:pStyle w:val="BodyText"/>
      </w:pPr>
      <w:r>
        <w:rPr>
          <w:bCs/>
          <w:b/>
        </w:rPr>
        <w:t xml:space="preserve">5.5</w:t>
      </w:r>
      <w:r>
        <w:t xml:space="preserve"> </w:t>
      </w:r>
      <w:r>
        <w:t xml:space="preserve">The project timeline assumes standard business operations in</w:t>
      </w:r>
      <w:r>
        <w:t xml:space="preserve"> </w:t>
      </w:r>
      <w:r>
        <w:t xml:space="preserve">Brazil São Paulo</w:t>
      </w:r>
      <w:r>
        <w:t xml:space="preserve"> </w:t>
      </w:r>
      <w:r>
        <w:t xml:space="preserve">(Monday to Friday, 08:00–18:00 BRT). Delays caused by force majeure, public holidays, or client-side delays shall extend the timeline proportionally.</w:t>
      </w:r>
    </w:p>
    <w:p>
      <w:pPr>
        <w:pStyle w:val="BodyText"/>
      </w:pPr>
      <w:r>
        <w:rPr>
          <w:bCs/>
          <w:b/>
        </w:rPr>
        <w:t xml:space="preserve">5.6</w:t>
      </w:r>
      <w:r>
        <w:t xml:space="preserve"> </w:t>
      </w:r>
      <w:r>
        <w:t xml:space="preserve">Disputes arising from this agreement shall be resolved through arbitration in the city of São Paulo, state of São Paulo, Brazil, in accordance with the rules of the CAMARB (Câmara de Arbitragem do Mercado).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to be delivered in</w:t>
      </w:r>
      <w:r>
        <w:t xml:space="preserve"> </w:t>
      </w:r>
      <w:r>
        <w:t xml:space="preserve">Brazil São Paulo</w:t>
      </w:r>
      <w:r>
        <w:t xml:space="preserve">.</w:t>
      </w:r>
    </w:p>
    <w:p>
      <w:pPr>
        <w:pStyle w:val="BodyText"/>
      </w:pPr>
      <w:r>
        <w:rPr>
          <w:bCs/>
          <w:b/>
        </w:rPr>
        <w:t xml:space="preserve">EduCurriculum Brasil Ltda. (Provider)</w:t>
      </w:r>
      <w:r>
        <w:br/>
      </w:r>
      <w:r>
        <w:t xml:space="preserve">Name: Ricardo Tavares</w:t>
      </w:r>
      <w:r>
        <w:br/>
      </w:r>
      <w:r>
        <w:t xml:space="preserve">Role: Director of Academic Services</w:t>
      </w:r>
      <w:r>
        <w:br/>
      </w:r>
      <w:r>
        <w:t xml:space="preserve">CNPJ: 12.345.678/0001-90</w:t>
      </w:r>
      <w:r>
        <w:br/>
      </w:r>
      <w:r>
        <w:t xml:space="preserve">Date: _______________</w:t>
      </w:r>
    </w:p>
    <w:p>
      <w:pPr>
        <w:pStyle w:val="BodyText"/>
      </w:pPr>
      <w:r>
        <w:rPr>
          <w:bCs/>
          <w:b/>
        </w:rPr>
        <w:t xml:space="preserve">Instituto de Ensino Superior de São Paulo (Client)</w:t>
      </w:r>
      <w:r>
        <w:br/>
      </w:r>
      <w:r>
        <w:t xml:space="preserve">Name: Dr. Helena Martins</w:t>
      </w:r>
      <w:r>
        <w:br/>
      </w:r>
      <w:r>
        <w:t xml:space="preserve">Role: Academic Director</w:t>
      </w:r>
      <w:r>
        <w:br/>
      </w:r>
      <w:r>
        <w:t xml:space="preserve">CPF: ***.***.***-**</w:t>
      </w:r>
      <w:r>
        <w:br/>
      </w:r>
      <w:r>
        <w:t xml:space="preserve">Date: _______________</w:t>
      </w:r>
    </w:p>
    <w:p>
      <w:pPr>
        <w:pStyle w:val="BodyText"/>
      </w:pPr>
      <w:r>
        <w:t xml:space="preserve">This Quotation Estimate document was generated by EduCurriculum Brasil Ltda. and is valid only for the specific client and project referenced herein. It does not constitute a binding contract until countersigned by both parties. All references to Brazilian São Paulo regulatory frameworks are current as of June 2025. For questions regarding this Quotation Estimate, please contact quotations@educurriculumbrazil.com.br or +55 (11) 3456-7890.</w:t>
      </w:r>
    </w:p>
    <w:p>
      <w:pPr>
        <w:pStyle w:val="BodyText"/>
      </w:pPr>
      <w:r>
        <w:t xml:space="preserve">Document ID: QE-2025-0847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Brazil São Paulo</dc:title>
  <dc:creator/>
  <dc:language>en</dc:language>
  <cp:keywords/>
  <dcterms:created xsi:type="dcterms:W3CDTF">2026-10-10T09:06:50Z</dcterms:created>
  <dcterms:modified xsi:type="dcterms:W3CDTF">2026-10-10T09:06:50Z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