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Japan</w:t>
      </w:r>
      <w:r>
        <w:t xml:space="preserve"> </w:t>
      </w:r>
      <w:r>
        <w:t xml:space="preserve">Kyoto</w:t>
      </w:r>
    </w:p>
    <w:bookmarkStart w:id="20" w:name="quotation-estimate"/>
    <w:p>
      <w:pPr>
        <w:pStyle w:val="Heading1"/>
      </w:pPr>
      <w:r>
        <w:t xml:space="preserve">QUOTATION ESTIMATE</w:t>
      </w:r>
    </w:p>
    <w:p>
      <w:pPr>
        <w:pStyle w:val="FirstParagraph"/>
      </w:pPr>
      <w:r>
        <w:t xml:space="preserve">Professional Curriculum Developer Services — Japan Kyoto</w:t>
      </w:r>
    </w:p>
    <w:p>
      <w:pPr>
        <w:pStyle w:val="BodyText"/>
      </w:pPr>
      <w:r>
        <w:t xml:space="preserve">Kyoto Educational Consulting Group Co., Ltd.</w:t>
      </w:r>
    </w:p>
    <w:p>
      <w:pPr>
        <w:pStyle w:val="BodyText"/>
      </w:pPr>
      <w:r>
        <w:t xml:space="preserve">12-4 Gionmachi, Higashiyama-ku, Kyoto 605-0073, Japan</w:t>
      </w:r>
    </w:p>
    <w:p>
      <w:pPr>
        <w:pStyle w:val="BodyText"/>
      </w:pPr>
      <w:r>
        <w:t xml:space="preserve">Tel: +81-75-555-0142 | Email: estimates@kyoto-edu-consulting.jp</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QEST-KYO-2025-0487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Prepared For</w:t>
            </w:r>
          </w:p>
        </w:tc>
        <w:tc>
          <w:tcPr/>
          <w:p>
            <w:pPr>
              <w:pStyle w:val="Compact"/>
              <w:jc w:val="left"/>
            </w:pPr>
            <w:r>
              <w:t xml:space="preserve">Mr. Takeshi Yamamoto, Director of Academic Affairs, Kyoto International Academy of Learning, 8-22 Nakagyo-ku, Kyoto 604-8001, Japan</w:t>
            </w:r>
          </w:p>
        </w:tc>
      </w:tr>
      <w:tr>
        <w:tc>
          <w:tcPr/>
          <w:p>
            <w:pPr>
              <w:pStyle w:val="Compact"/>
              <w:jc w:val="left"/>
            </w:pPr>
            <w:r>
              <w:t xml:space="preserve">Prepared By</w:t>
            </w:r>
          </w:p>
        </w:tc>
        <w:tc>
          <w:tcPr/>
          <w:p>
            <w:pPr>
              <w:pStyle w:val="Compact"/>
              <w:jc w:val="left"/>
            </w:pPr>
            <w:r>
              <w:t xml:space="preserve">Ms. Elena Sato, Senior Account Manager, Kyoto Educational Consulting Group Co., Ltd.</w:t>
            </w:r>
          </w:p>
        </w:tc>
      </w:tr>
      <w:tr>
        <w:tc>
          <w:tcPr/>
          <w:p>
            <w:pPr>
              <w:pStyle w:val="Compact"/>
              <w:jc w:val="left"/>
            </w:pPr>
            <w:r>
              <w:t xml:space="preserve">Project Location</w:t>
            </w:r>
          </w:p>
        </w:tc>
        <w:tc>
          <w:tcPr/>
          <w:p>
            <w:pPr>
              <w:pStyle w:val="Compact"/>
              <w:jc w:val="left"/>
            </w:pPr>
            <w:r>
              <w:t xml:space="preserve">Japan Kyoto — Primary and Secondary Campus, Higashiyama-ku, Kyoto</w:t>
            </w:r>
          </w:p>
        </w:tc>
      </w:tr>
      <w:tr>
        <w:tc>
          <w:tcPr/>
          <w:p>
            <w:pPr>
              <w:pStyle w:val="Compact"/>
              <w:jc w:val="left"/>
            </w:pPr>
            <w:r>
              <w:t xml:space="preserve">Currency</w:t>
            </w:r>
          </w:p>
        </w:tc>
        <w:tc>
          <w:tcPr/>
          <w:p>
            <w:pPr>
              <w:pStyle w:val="Compact"/>
              <w:jc w:val="left"/>
            </w:pPr>
            <w:r>
              <w:t xml:space="preserve">Japanese Yen (JPY)</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Kyoto Educational Consulting Group Co., Ltd. to formally outline the projected costs, deliverables, and professional services associated with the engagement of a dedicated</w:t>
      </w:r>
      <w:r>
        <w:t xml:space="preserve"> </w:t>
      </w:r>
      <w:r>
        <w:t xml:space="preserve">Curriculum Developer</w:t>
      </w:r>
      <w:r>
        <w:t xml:space="preserve"> </w:t>
      </w:r>
      <w:r>
        <w:t xml:space="preserve">for the Japan Kyoto campus of Kyoto International Academy of Learning. The scope of this</w:t>
      </w:r>
      <w:r>
        <w:t xml:space="preserve"> </w:t>
      </w:r>
      <w:r>
        <w:t xml:space="preserve">Quotation Estimate</w:t>
      </w:r>
      <w:r>
        <w:t xml:space="preserve"> </w:t>
      </w:r>
      <w:r>
        <w:t xml:space="preserve">encompasses the full-cycle design, development, review, and implementation support of academic curricula tailored to the specific pedagogical needs of the Japan Kyoto institution, in alignment with the Japanese Ministry of Education, Culture, Sports, Science and Technology (MEXT) standards as well as international accreditation frameworks.</w:t>
      </w:r>
    </w:p>
    <w:p>
      <w:pPr>
        <w:pStyle w:val="BodyText"/>
      </w:pPr>
      <w:r>
        <w:t xml:space="preserve">The</w:t>
      </w:r>
      <w:r>
        <w:t xml:space="preserve"> </w:t>
      </w:r>
      <w:r>
        <w:t xml:space="preserve">Curriculum Developer</w:t>
      </w:r>
      <w:r>
        <w:t xml:space="preserve"> </w:t>
      </w:r>
      <w:r>
        <w:t xml:space="preserve">engaged under this</w:t>
      </w:r>
      <w:r>
        <w:t xml:space="preserve"> </w:t>
      </w:r>
      <w:r>
        <w:t xml:space="preserve">Quotation Estimate</w:t>
      </w:r>
      <w:r>
        <w:t xml:space="preserve"> </w:t>
      </w:r>
      <w:r>
        <w:t xml:space="preserve">will operate primarily out of the Japan Kyoto campus and will collaborate closely with the institution's faculty leadership, department heads, and external advisory board. All deliverables produced by the</w:t>
      </w:r>
      <w:r>
        <w:t xml:space="preserve"> </w:t>
      </w:r>
      <w:r>
        <w:t xml:space="preserve">Curriculum Developer</w:t>
      </w:r>
      <w:r>
        <w:t xml:space="preserve"> </w:t>
      </w:r>
      <w:r>
        <w:t xml:space="preserve">will be subject to a two-stage quality assurance review before final approval by the Japan Kyoto academic governance committee.</w:t>
      </w:r>
    </w:p>
    <w:bookmarkEnd w:id="21"/>
    <w:bookmarkStart w:id="22" w:name="X2414dd237fe8f17ee4c29c8938795627b31d62b"/>
    <w:p>
      <w:pPr>
        <w:pStyle w:val="Heading2"/>
      </w:pPr>
      <w:r>
        <w:t xml:space="preserve">2. Detailed Line Items — Curriculum Developer Services in Japan Kyoto</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(JPY)</w:t>
            </w:r>
          </w:p>
        </w:tc>
        <w:tc>
          <w:tcPr/>
          <w:p>
            <w:pPr>
              <w:pStyle w:val="Compact"/>
              <w:jc w:val="left"/>
            </w:pPr>
            <w:r>
              <w:t xml:space="preserve">Quantity</w:t>
            </w:r>
          </w:p>
        </w:tc>
        <w:tc>
          <w:tcPr/>
          <w:p>
            <w:pPr>
              <w:pStyle w:val="Compact"/>
              <w:jc w:val="left"/>
            </w:pPr>
            <w:r>
              <w:t xml:space="preserve">Amount (JPY)</w:t>
            </w:r>
          </w:p>
        </w:tc>
      </w:tr>
      <w:tr>
        <w:tc>
          <w:tcPr/>
          <w:p>
            <w:pPr>
              <w:pStyle w:val="Compact"/>
              <w:jc w:val="left"/>
            </w:pPr>
            <w:r>
              <w:t xml:space="preserve">1</w:t>
            </w:r>
          </w:p>
        </w:tc>
        <w:tc>
          <w:tcPr/>
          <w:p>
            <w:pPr>
              <w:pStyle w:val="Compact"/>
              <w:jc w:val="left"/>
            </w:pPr>
            <w:r>
              <w:t xml:space="preserve">Initial needs assessment and stakeholder interviews at the Japan Kyoto campus; production of a Curriculum Gap Analysis Report</w:t>
            </w:r>
          </w:p>
        </w:tc>
        <w:tc>
          <w:tcPr/>
          <w:p>
            <w:pPr>
              <w:pStyle w:val="Compact"/>
              <w:jc w:val="left"/>
            </w:pPr>
            <w:r>
              <w:t xml:space="preserve">2 weeks</w:t>
            </w:r>
          </w:p>
        </w:tc>
        <w:tc>
          <w:tcPr/>
          <w:p>
            <w:pPr>
              <w:pStyle w:val="Compact"/>
              <w:jc w:val="left"/>
            </w:pPr>
            <w:r>
              <w:t xml:space="preserve">180,000</w:t>
            </w:r>
          </w:p>
        </w:tc>
        <w:tc>
          <w:tcPr/>
          <w:p>
            <w:pPr>
              <w:pStyle w:val="Compact"/>
              <w:jc w:val="left"/>
            </w:pPr>
            <w:r>
              <w:t xml:space="preserve">1</w:t>
            </w:r>
          </w:p>
        </w:tc>
        <w:tc>
          <w:tcPr/>
          <w:p>
            <w:pPr>
              <w:pStyle w:val="Compact"/>
              <w:jc w:val="left"/>
            </w:pPr>
            <w:r>
              <w:t xml:space="preserve">180,000</w:t>
            </w:r>
          </w:p>
        </w:tc>
      </w:tr>
      <w:tr>
        <w:tc>
          <w:tcPr/>
          <w:p>
            <w:pPr>
              <w:pStyle w:val="Compact"/>
              <w:jc w:val="left"/>
            </w:pPr>
            <w:r>
              <w:t xml:space="preserve">2</w:t>
            </w:r>
          </w:p>
        </w:tc>
        <w:tc>
          <w:tcPr/>
          <w:p>
            <w:pPr>
              <w:pStyle w:val="Compact"/>
              <w:jc w:val="left"/>
            </w:pPr>
            <w:r>
              <w:t xml:space="preserve">Design and development of a 3-year integrated curriculum framework for Grades 7–9, incorporating MEXT guidelines and IB-aligned competencies</w:t>
            </w:r>
          </w:p>
        </w:tc>
        <w:tc>
          <w:tcPr/>
          <w:p>
            <w:pPr>
              <w:pStyle w:val="Compact"/>
              <w:jc w:val="left"/>
            </w:pPr>
            <w:r>
              <w:t xml:space="preserve">8 weeks</w:t>
            </w:r>
          </w:p>
        </w:tc>
        <w:tc>
          <w:tcPr/>
          <w:p>
            <w:pPr>
              <w:pStyle w:val="Compact"/>
              <w:jc w:val="left"/>
            </w:pPr>
            <w:r>
              <w:t xml:space="preserve">220,000</w:t>
            </w:r>
          </w:p>
        </w:tc>
        <w:tc>
          <w:tcPr/>
          <w:p>
            <w:pPr>
              <w:pStyle w:val="Compact"/>
              <w:jc w:val="left"/>
            </w:pPr>
            <w:r>
              <w:t xml:space="preserve">1</w:t>
            </w:r>
          </w:p>
        </w:tc>
        <w:tc>
          <w:tcPr/>
          <w:p>
            <w:pPr>
              <w:pStyle w:val="Compact"/>
              <w:jc w:val="left"/>
            </w:pPr>
            <w:r>
              <w:t xml:space="preserve">1,760,000</w:t>
            </w:r>
          </w:p>
        </w:tc>
      </w:tr>
      <w:tr>
        <w:tc>
          <w:tcPr/>
          <w:p>
            <w:pPr>
              <w:pStyle w:val="Compact"/>
              <w:jc w:val="left"/>
            </w:pPr>
            <w:r>
              <w:t xml:space="preserve">3</w:t>
            </w:r>
          </w:p>
        </w:tc>
        <w:tc>
          <w:tcPr/>
          <w:p>
            <w:pPr>
              <w:pStyle w:val="Compact"/>
              <w:jc w:val="left"/>
            </w:pPr>
            <w:r>
              <w:t xml:space="preserve">Authoring of 120+ lesson plan templates, unit plans, and assessment rubrics for the Japan Kyoto secondary division</w:t>
            </w:r>
          </w:p>
        </w:tc>
        <w:tc>
          <w:tcPr/>
          <w:p>
            <w:pPr>
              <w:pStyle w:val="Compact"/>
              <w:jc w:val="left"/>
            </w:pPr>
            <w:r>
              <w:t xml:space="preserve">10 weeks</w:t>
            </w:r>
          </w:p>
        </w:tc>
        <w:tc>
          <w:tcPr/>
          <w:p>
            <w:pPr>
              <w:pStyle w:val="Compact"/>
              <w:jc w:val="left"/>
            </w:pPr>
            <w:r>
              <w:t xml:space="preserve">195,000</w:t>
            </w:r>
          </w:p>
        </w:tc>
        <w:tc>
          <w:tcPr/>
          <w:p>
            <w:pPr>
              <w:pStyle w:val="Compact"/>
              <w:jc w:val="left"/>
            </w:pPr>
            <w:r>
              <w:t xml:space="preserve">1</w:t>
            </w:r>
          </w:p>
        </w:tc>
        <w:tc>
          <w:tcPr/>
          <w:p>
            <w:pPr>
              <w:pStyle w:val="Compact"/>
              <w:jc w:val="left"/>
            </w:pPr>
            <w:r>
              <w:t xml:space="preserve">1,950,000</w:t>
            </w:r>
          </w:p>
        </w:tc>
      </w:tr>
      <w:tr>
        <w:tc>
          <w:tcPr/>
          <w:p>
            <w:pPr>
              <w:pStyle w:val="Compact"/>
              <w:jc w:val="left"/>
            </w:pPr>
            <w:r>
              <w:t xml:space="preserve">4</w:t>
            </w:r>
          </w:p>
        </w:tc>
        <w:tc>
          <w:tcPr/>
          <w:p>
            <w:pPr>
              <w:pStyle w:val="Compact"/>
              <w:jc w:val="left"/>
            </w:pPr>
            <w:r>
              <w:t xml:space="preserve">Development of a differentiated instruction module and inclusive education strategy specific to the Japan Kyoto student demographic</w:t>
            </w:r>
          </w:p>
        </w:tc>
        <w:tc>
          <w:tcPr/>
          <w:p>
            <w:pPr>
              <w:pStyle w:val="Compact"/>
              <w:jc w:val="left"/>
            </w:pPr>
            <w:r>
              <w:t xml:space="preserve">4 weeks</w:t>
            </w:r>
          </w:p>
        </w:tc>
        <w:tc>
          <w:tcPr/>
          <w:p>
            <w:pPr>
              <w:pStyle w:val="Compact"/>
              <w:jc w:val="left"/>
            </w:pPr>
            <w:r>
              <w:t xml:space="preserve">210,000</w:t>
            </w:r>
          </w:p>
        </w:tc>
        <w:tc>
          <w:tcPr/>
          <w:p>
            <w:pPr>
              <w:pStyle w:val="Compact"/>
              <w:jc w:val="left"/>
            </w:pPr>
            <w:r>
              <w:t xml:space="preserve">1</w:t>
            </w:r>
          </w:p>
        </w:tc>
        <w:tc>
          <w:tcPr/>
          <w:p>
            <w:pPr>
              <w:pStyle w:val="Compact"/>
              <w:jc w:val="left"/>
            </w:pPr>
            <w:r>
              <w:t xml:space="preserve">840,000</w:t>
            </w:r>
          </w:p>
        </w:tc>
      </w:tr>
      <w:tr>
        <w:tc>
          <w:tcPr/>
          <w:p>
            <w:pPr>
              <w:pStyle w:val="Compact"/>
              <w:jc w:val="left"/>
            </w:pPr>
            <w:r>
              <w:t xml:space="preserve">5</w:t>
            </w:r>
          </w:p>
        </w:tc>
        <w:tc>
          <w:tcPr/>
          <w:p>
            <w:pPr>
              <w:pStyle w:val="Compact"/>
              <w:jc w:val="left"/>
            </w:pPr>
            <w:r>
              <w:t xml:space="preserve">Faculty training workshops (6 sessions) for Japan Kyoto teaching staff on the newly developed curriculum materials and pedagogical approaches</w:t>
            </w:r>
          </w:p>
        </w:tc>
        <w:tc>
          <w:tcPr/>
          <w:p>
            <w:pPr>
              <w:pStyle w:val="Compact"/>
              <w:jc w:val="left"/>
            </w:pPr>
            <w:r>
              <w:t xml:space="preserve">6 weeks</w:t>
            </w:r>
          </w:p>
        </w:tc>
        <w:tc>
          <w:tcPr/>
          <w:p>
            <w:pPr>
              <w:pStyle w:val="Compact"/>
              <w:jc w:val="left"/>
            </w:pPr>
            <w:r>
              <w:t xml:space="preserve">150,000</w:t>
            </w:r>
          </w:p>
        </w:tc>
        <w:tc>
          <w:tcPr/>
          <w:p>
            <w:pPr>
              <w:pStyle w:val="Compact"/>
              <w:jc w:val="left"/>
            </w:pPr>
            <w:r>
              <w:t xml:space="preserve">6</w:t>
            </w:r>
          </w:p>
        </w:tc>
        <w:tc>
          <w:tcPr/>
          <w:p>
            <w:pPr>
              <w:pStyle w:val="Compact"/>
              <w:jc w:val="left"/>
            </w:pPr>
            <w:r>
              <w:t xml:space="preserve">900,000</w:t>
            </w:r>
          </w:p>
        </w:tc>
      </w:tr>
      <w:tr>
        <w:tc>
          <w:tcPr/>
          <w:p>
            <w:pPr>
              <w:pStyle w:val="Compact"/>
              <w:jc w:val="left"/>
            </w:pPr>
            <w:r>
              <w:t xml:space="preserve">6</w:t>
            </w:r>
          </w:p>
        </w:tc>
        <w:tc>
          <w:tcPr/>
          <w:p>
            <w:pPr>
              <w:pStyle w:val="Compact"/>
              <w:jc w:val="left"/>
            </w:pPr>
            <w:r>
              <w:t xml:space="preserve">Pilot implementation support and mid-cycle curriculum review at the Japan Kyoto campus during the first semester</w:t>
            </w:r>
          </w:p>
        </w:tc>
        <w:tc>
          <w:tcPr/>
          <w:p>
            <w:pPr>
              <w:pStyle w:val="Compact"/>
              <w:jc w:val="left"/>
            </w:pPr>
            <w:r>
              <w:t xml:space="preserve">12 weeks</w:t>
            </w:r>
          </w:p>
        </w:tc>
        <w:tc>
          <w:tcPr/>
          <w:p>
            <w:pPr>
              <w:pStyle w:val="Compact"/>
              <w:jc w:val="left"/>
            </w:pPr>
            <w:r>
              <w:t xml:space="preserve">175,000</w:t>
            </w:r>
          </w:p>
        </w:tc>
        <w:tc>
          <w:tcPr/>
          <w:p>
            <w:pPr>
              <w:pStyle w:val="Compact"/>
              <w:jc w:val="left"/>
            </w:pPr>
            <w:r>
              <w:t xml:space="preserve">1</w:t>
            </w:r>
          </w:p>
        </w:tc>
        <w:tc>
          <w:tcPr/>
          <w:p>
            <w:pPr>
              <w:pStyle w:val="Compact"/>
              <w:jc w:val="left"/>
            </w:pPr>
            <w:r>
              <w:t xml:space="preserve">2,100,000</w:t>
            </w:r>
          </w:p>
        </w:tc>
      </w:tr>
      <w:tr>
        <w:tc>
          <w:tcPr/>
          <w:p>
            <w:pPr>
              <w:pStyle w:val="Compact"/>
              <w:jc w:val="left"/>
            </w:pPr>
            <w:r>
              <w:t xml:space="preserve">7</w:t>
            </w:r>
          </w:p>
        </w:tc>
        <w:tc>
          <w:tcPr/>
          <w:p>
            <w:pPr>
              <w:pStyle w:val="Compact"/>
              <w:jc w:val="left"/>
            </w:pPr>
            <w:r>
              <w:t xml:space="preserve">Production of the final Curriculum Developer Implementation Handbook and digital resource repository for ongoing Japan Kyoto use</w:t>
            </w:r>
          </w:p>
        </w:tc>
        <w:tc>
          <w:tcPr/>
          <w:p>
            <w:pPr>
              <w:pStyle w:val="Compact"/>
              <w:jc w:val="left"/>
            </w:pPr>
            <w:r>
              <w:t xml:space="preserve">3 weeks</w:t>
            </w:r>
          </w:p>
        </w:tc>
        <w:tc>
          <w:tcPr/>
          <w:p>
            <w:pPr>
              <w:pStyle w:val="Compact"/>
              <w:jc w:val="left"/>
            </w:pPr>
            <w:r>
              <w:t xml:space="preserve">200,000</w:t>
            </w:r>
          </w:p>
        </w:tc>
        <w:tc>
          <w:tcPr/>
          <w:p>
            <w:pPr>
              <w:pStyle w:val="Compact"/>
              <w:jc w:val="left"/>
            </w:pPr>
            <w:r>
              <w:t xml:space="preserve">1</w:t>
            </w:r>
          </w:p>
        </w:tc>
        <w:tc>
          <w:tcPr/>
          <w:p>
            <w:pPr>
              <w:pStyle w:val="Compact"/>
              <w:jc w:val="left"/>
            </w:pPr>
            <w:r>
              <w:t xml:space="preserve">600,000</w:t>
            </w:r>
          </w:p>
        </w:tc>
      </w:tr>
      <w:tr>
        <w:tc>
          <w:tcPr/>
          <w:p>
            <w:pPr>
              <w:pStyle w:val="Compact"/>
              <w:jc w:val="left"/>
            </w:pPr>
            <w:r>
              <w:t xml:space="preserve">8</w:t>
            </w:r>
          </w:p>
        </w:tc>
        <w:tc>
          <w:tcPr/>
          <w:p>
            <w:pPr>
              <w:pStyle w:val="Compact"/>
              <w:jc w:val="left"/>
            </w:pPr>
            <w:r>
              <w:t xml:space="preserve">Travel and accommodation allowance for the Curriculum Developer based in Japan Kyoto (Higashiyama-ku office and campus visits)</w:t>
            </w:r>
          </w:p>
        </w:tc>
        <w:tc>
          <w:tcPr/>
          <w:p>
            <w:pPr>
              <w:pStyle w:val="Compact"/>
              <w:jc w:val="left"/>
            </w:pPr>
            <w:r>
              <w:t xml:space="preserve">45 weeks</w:t>
            </w:r>
          </w:p>
        </w:tc>
        <w:tc>
          <w:tcPr/>
          <w:p>
            <w:pPr>
              <w:pStyle w:val="Compact"/>
              <w:jc w:val="left"/>
            </w:pPr>
            <w:r>
              <w:t xml:space="preserve">45,000</w:t>
            </w:r>
          </w:p>
        </w:tc>
        <w:tc>
          <w:tcPr/>
          <w:p>
            <w:pPr>
              <w:pStyle w:val="Compact"/>
              <w:jc w:val="left"/>
            </w:pPr>
            <w:r>
              <w:t xml:space="preserve">45</w:t>
            </w:r>
          </w:p>
        </w:tc>
        <w:tc>
          <w:tcPr/>
          <w:p>
            <w:pPr>
              <w:pStyle w:val="Compact"/>
              <w:jc w:val="left"/>
            </w:pPr>
            <w:r>
              <w:t xml:space="preserve">2,025,000</w:t>
            </w:r>
          </w:p>
        </w:tc>
      </w:tr>
      <w:tr>
        <w:tc>
          <w:tcPr/>
          <w:p>
            <w:pPr>
              <w:pStyle w:val="Compact"/>
              <w:jc w:val="left"/>
            </w:pPr>
            <w:r>
              <w:t xml:space="preserve">9</w:t>
            </w:r>
          </w:p>
        </w:tc>
        <w:tc>
          <w:tcPr/>
          <w:p>
            <w:pPr>
              <w:pStyle w:val="Compact"/>
              <w:jc w:val="left"/>
            </w:pPr>
            <w:r>
              <w:t xml:space="preserve">Project management, reporting, and administrative coordination for the entire Japan Kyoto curriculum development engagement</w:t>
            </w:r>
          </w:p>
        </w:tc>
        <w:tc>
          <w:tcPr/>
          <w:p>
            <w:pPr>
              <w:pStyle w:val="Compact"/>
              <w:jc w:val="left"/>
            </w:pPr>
            <w:r>
              <w:t xml:space="preserve">45 weeks</w:t>
            </w:r>
          </w:p>
        </w:tc>
        <w:tc>
          <w:tcPr/>
          <w:p>
            <w:pPr>
              <w:pStyle w:val="Compact"/>
              <w:jc w:val="left"/>
            </w:pPr>
            <w:r>
              <w:t xml:space="preserve">35,000</w:t>
            </w:r>
          </w:p>
        </w:tc>
        <w:tc>
          <w:tcPr/>
          <w:p>
            <w:pPr>
              <w:pStyle w:val="Compact"/>
              <w:jc w:val="left"/>
            </w:pPr>
            <w:r>
              <w:t xml:space="preserve">45</w:t>
            </w:r>
          </w:p>
        </w:tc>
        <w:tc>
          <w:tcPr/>
          <w:p>
            <w:pPr>
              <w:pStyle w:val="Compact"/>
              <w:jc w:val="left"/>
            </w:pPr>
            <w:r>
              <w:t xml:space="preserve">1,575,000</w:t>
            </w:r>
          </w:p>
        </w:tc>
      </w:tr>
      <w:tr>
        <w:tc>
          <w:tcPr>
            <w:gridSpan w:val="5"/>
          </w:tcPr>
          <w:p>
            <w:pPr>
              <w:pStyle w:val="Compact"/>
              <w:jc w:val="left"/>
            </w:pPr>
            <w:r>
              <w:t xml:space="preserve">SUBTOTAL</w:t>
            </w:r>
          </w:p>
        </w:tc>
        <w:tc>
          <w:tcPr/>
          <w:p>
            <w:pPr>
              <w:pStyle w:val="Compact"/>
              <w:jc w:val="left"/>
            </w:pPr>
            <w:r>
              <w:t xml:space="preserve">11,930,000</w:t>
            </w:r>
          </w:p>
        </w:tc>
      </w:tr>
      <w:tr>
        <w:tc>
          <w:tcPr>
            <w:gridSpan w:val="5"/>
          </w:tcPr>
          <w:p>
            <w:pPr>
              <w:pStyle w:val="Compact"/>
              <w:jc w:val="left"/>
            </w:pPr>
            <w:r>
              <w:t xml:space="preserve">Consumption Tax (10%)</w:t>
            </w:r>
          </w:p>
        </w:tc>
        <w:tc>
          <w:tcPr/>
          <w:p>
            <w:pPr>
              <w:pStyle w:val="Compact"/>
              <w:jc w:val="left"/>
            </w:pPr>
            <w:r>
              <w:t xml:space="preserve">1,193,000</w:t>
            </w:r>
          </w:p>
        </w:tc>
      </w:tr>
      <w:tr>
        <w:tc>
          <w:tcPr>
            <w:gridSpan w:val="5"/>
          </w:tcPr>
          <w:p>
            <w:pPr>
              <w:pStyle w:val="Compact"/>
              <w:jc w:val="left"/>
            </w:pPr>
            <w:r>
              <w:t xml:space="preserve">TOTAL AMOUNT DUE (JPY)</w:t>
            </w:r>
          </w:p>
        </w:tc>
        <w:tc>
          <w:tcPr/>
          <w:p>
            <w:pPr>
              <w:pStyle w:val="Compact"/>
              <w:jc w:val="left"/>
            </w:pPr>
            <w:r>
              <w:t xml:space="preserve">13,123,000</w:t>
            </w:r>
          </w:p>
        </w:tc>
      </w:tr>
    </w:tbl>
    <w:bookmarkEnd w:id="22"/>
    <w:bookmarkStart w:id="23" w:name="payment-terms"/>
    <w:p>
      <w:pPr>
        <w:pStyle w:val="Heading2"/>
      </w:pPr>
      <w:r>
        <w:t xml:space="preserve">3. Payment Terms</w:t>
      </w:r>
    </w:p>
    <w:p>
      <w:pPr>
        <w:pStyle w:val="FirstParagraph"/>
      </w:pPr>
      <w:r>
        <w:t xml:space="preserve">Payment for the services outlined in this</w:t>
      </w:r>
      <w:r>
        <w:t xml:space="preserve"> </w:t>
      </w:r>
      <w:r>
        <w:t xml:space="preserve">Quotation Estimate</w:t>
      </w:r>
      <w:r>
        <w:t xml:space="preserve"> </w:t>
      </w:r>
      <w:r>
        <w:t xml:space="preserve">shall be made in three installments: 30% upon contract execution, 40% upon delivery of the core curriculum framework and lesson plan templates, and the remaining 30% upon final acceptance of the Implementation Handbook and completion of all faculty training sessions at the Japan Kyoto campus. All payments shall be remitted in Japanese Yen via bank transfer to the account designated by Kyoto Educational Consulting Group Co., Ltd.</w:t>
      </w:r>
    </w:p>
    <w:bookmarkEnd w:id="23"/>
    <w:bookmarkStart w:id="24" w:name="terms-and-conditions"/>
    <w:p>
      <w:pPr>
        <w:pStyle w:val="Heading2"/>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Beyond this period, all rates and terms are subject to revision.</w:t>
      </w:r>
    </w:p>
    <w:p>
      <w:pPr>
        <w:numPr>
          <w:ilvl w:val="0"/>
          <w:numId w:val="1001"/>
        </w:numPr>
        <w:pStyle w:val="Compact"/>
      </w:pPr>
      <w:r>
        <w:t xml:space="preserve">The</w:t>
      </w:r>
      <w:r>
        <w:t xml:space="preserve"> </w:t>
      </w:r>
      <w:r>
        <w:t xml:space="preserve">Curriculum Developer</w:t>
      </w:r>
      <w:r>
        <w:t xml:space="preserve"> </w:t>
      </w:r>
      <w:r>
        <w:t xml:space="preserve">shall devote a minimum of 35 hours per week to the Japan Kyoto project and shall maintain a dedicated workspace at the Higashiyama-ku campus facility.</w:t>
      </w:r>
    </w:p>
    <w:p>
      <w:pPr>
        <w:numPr>
          <w:ilvl w:val="0"/>
          <w:numId w:val="1001"/>
        </w:numPr>
        <w:pStyle w:val="Compact"/>
      </w:pPr>
      <w:r>
        <w:t xml:space="preserve">All intellectual property rights to curriculum materials, lesson plans, and assessment instruments created by the</w:t>
      </w:r>
      <w:r>
        <w:t xml:space="preserve"> </w:t>
      </w:r>
      <w:r>
        <w:t xml:space="preserve">Curriculum Developer</w:t>
      </w:r>
      <w:r>
        <w:t xml:space="preserve"> </w:t>
      </w:r>
      <w:r>
        <w:t xml:space="preserve">under this engagement shall transfer to Kyoto International Academy of Learning upon full payment.</w:t>
      </w:r>
    </w:p>
    <w:p>
      <w:pPr>
        <w:numPr>
          <w:ilvl w:val="0"/>
          <w:numId w:val="1001"/>
        </w:numPr>
        <w:pStyle w:val="Compact"/>
      </w:pPr>
      <w:r>
        <w:t xml:space="preserve">Any scope changes or additional deliverables requested by the Japan Kyoto institution beyond the original specification will be addressed via a supplementary</w:t>
      </w:r>
      <w:r>
        <w:t xml:space="preserve"> </w:t>
      </w:r>
      <w:r>
        <w:t xml:space="preserve">Quotation Estimate</w:t>
      </w:r>
      <w:r>
        <w:t xml:space="preserve"> </w:t>
      </w:r>
      <w:r>
        <w:t xml:space="preserve">issued within five (5) business days.</w:t>
      </w:r>
    </w:p>
    <w:p>
      <w:pPr>
        <w:numPr>
          <w:ilvl w:val="0"/>
          <w:numId w:val="1001"/>
        </w:numPr>
        <w:pStyle w:val="Compact"/>
      </w:pPr>
      <w:r>
        <w:t xml:space="preserve">Confidentiality: The</w:t>
      </w:r>
      <w:r>
        <w:t xml:space="preserve"> </w:t>
      </w:r>
      <w:r>
        <w:t xml:space="preserve">Curriculum Developer</w:t>
      </w:r>
      <w:r>
        <w:t xml:space="preserve"> </w:t>
      </w:r>
      <w:r>
        <w:t xml:space="preserve">agrees to maintain strict confidentiality regarding all student data, institutional strategies, and proprietary academic content encountered during the Japan Kyoto engagement.</w:t>
      </w:r>
    </w:p>
    <w:p>
      <w:pPr>
        <w:numPr>
          <w:ilvl w:val="0"/>
          <w:numId w:val="1001"/>
        </w:numPr>
        <w:pStyle w:val="Compact"/>
      </w:pPr>
      <w:r>
        <w:t xml:space="preserve">Force Majeure: Neither party shall be liable for delays caused by natural disasters, government mandates, or other events beyond reasonable control, particularly those affecting operations in the Japan Kyoto region.</w:t>
      </w:r>
    </w:p>
    <w:p>
      <w:pPr>
        <w:numPr>
          <w:ilvl w:val="0"/>
          <w:numId w:val="1001"/>
        </w:numPr>
        <w:pStyle w:val="Compact"/>
      </w:pPr>
      <w:r>
        <w:t xml:space="preserve">Governing Law: This</w:t>
      </w:r>
      <w:r>
        <w:t xml:space="preserve"> </w:t>
      </w:r>
      <w:r>
        <w:t xml:space="preserve">Quotation Estimate</w:t>
      </w:r>
      <w:r>
        <w:t xml:space="preserve"> </w:t>
      </w:r>
      <w:r>
        <w:t xml:space="preserve">and any resulting contract shall be governed by the laws of Japan, with jurisdiction vested in the Kyoto District Court.</w:t>
      </w:r>
    </w:p>
    <w:bookmarkEnd w:id="24"/>
    <w:bookmarkStart w:id="25" w:name="acceptance-and-authorization"/>
    <w:p>
      <w:pPr>
        <w:pStyle w:val="Heading2"/>
      </w:pPr>
      <w:r>
        <w:t xml:space="preserve">5. Acceptance and Authorization</w:t>
      </w:r>
    </w:p>
    <w:p>
      <w:pPr>
        <w:pStyle w:val="FirstParagraph"/>
      </w:pPr>
      <w:r>
        <w:t xml:space="preserve">By signing below, the parties acknowledge that this</w:t>
      </w:r>
      <w:r>
        <w:t xml:space="preserve"> </w:t>
      </w:r>
      <w:r>
        <w:t xml:space="preserve">Quotation Estimate</w:t>
      </w:r>
      <w:r>
        <w:t xml:space="preserve"> </w:t>
      </w:r>
      <w:r>
        <w:t xml:space="preserve">accurately reflects the agreed-upon scope, cost, and timeline for the</w:t>
      </w:r>
      <w:r>
        <w:t xml:space="preserve"> </w:t>
      </w:r>
      <w:r>
        <w:t xml:space="preserve">Curriculum Developer</w:t>
      </w:r>
      <w:r>
        <w:t xml:space="preserve"> </w:t>
      </w:r>
      <w:r>
        <w:t xml:space="preserve">engagement at the Japan Kyoto campus. This document, once countersigned, shall serve as the binding basis for the formal service agreement.</w:t>
      </w:r>
    </w:p>
    <w:p>
      <w:pPr>
        <w:pStyle w:val="BodyText"/>
      </w:pPr>
      <w:r>
        <w:rPr>
          <w:bCs/>
          <w:b/>
        </w:rPr>
        <w:t xml:space="preserve">For Kyoto Educational Consulting Group Co., Ltd.</w:t>
      </w:r>
      <w:r>
        <w:br/>
      </w:r>
      <w:r>
        <w:br/>
      </w:r>
      <w:r>
        <w:t xml:space="preserve">Signature: ______________________________</w:t>
      </w:r>
      <w:r>
        <w:br/>
      </w:r>
      <w:r>
        <w:t xml:space="preserve">Name: Ms. Elena Sato</w:t>
      </w:r>
      <w:r>
        <w:br/>
      </w:r>
      <w:r>
        <w:t xml:space="preserve">Title: Senior Account Manager</w:t>
      </w:r>
      <w:r>
        <w:br/>
      </w:r>
      <w:r>
        <w:t xml:space="preserve">Date: ______________________________</w:t>
      </w:r>
    </w:p>
    <w:p>
      <w:pPr>
        <w:pStyle w:val="BodyText"/>
      </w:pPr>
      <w:r>
        <w:rPr>
          <w:bCs/>
          <w:b/>
        </w:rPr>
        <w:t xml:space="preserve">For Kyoto International Academy of Learning (Japan Kyoto)</w:t>
      </w:r>
      <w:r>
        <w:br/>
      </w:r>
      <w:r>
        <w:br/>
      </w:r>
      <w:r>
        <w:t xml:space="preserve">Signature: ______________________________</w:t>
      </w:r>
      <w:r>
        <w:br/>
      </w:r>
      <w:r>
        <w:t xml:space="preserve">Name: Mr. Takeshi Yamamoto</w:t>
      </w:r>
      <w:r>
        <w:br/>
      </w:r>
      <w:r>
        <w:t xml:space="preserve">Title: Director of Academic Affairs</w:t>
      </w:r>
      <w:r>
        <w:br/>
      </w:r>
      <w:r>
        <w:t xml:space="preserve">Date: ______________________________</w:t>
      </w:r>
    </w:p>
    <w:p>
      <w:pPr>
        <w:pStyle w:val="BodyText"/>
      </w:pPr>
      <w:r>
        <w:t xml:space="preserve">Quotation Estimate No. QEST-KYO-2025-0487 | Kyoto Educational Consulting Group Co., Ltd. | Japan Kyoto</w:t>
      </w:r>
    </w:p>
    <w:p>
      <w:pPr>
        <w:pStyle w:val="BodyText"/>
      </w:pPr>
      <w:r>
        <w:t xml:space="preserve">This document is the property of Kyoto Educational Consulting Group Co., Ltd. and is intended solely for the named recipient. Unauthorized reproduction or distribution is prohibited.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Curriculum Developer Services - Japan Kyoto</dc:title>
  <dc:creator/>
  <dc:language>en</dc:language>
  <cp:keywords/>
  <dcterms:created xsi:type="dcterms:W3CDTF">2026-10-10T04:32:01Z</dcterms:created>
  <dcterms:modified xsi:type="dcterms:W3CDTF">2026-10-10T04:32:01Z</dcterms:modified>
</cp:coreProperties>
</file>

<file path=docProps/custom.xml><?xml version="1.0" encoding="utf-8"?>
<Properties xmlns="http://schemas.openxmlformats.org/officeDocument/2006/custom-properties" xmlns:vt="http://schemas.openxmlformats.org/officeDocument/2006/docPropsVTypes"/>
</file>